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CE538" w14:textId="440561C2" w:rsidR="000F32D2" w:rsidRPr="004A06D8" w:rsidRDefault="007E5E8C" w:rsidP="000F32D2">
      <w:pPr>
        <w:pStyle w:val="Title"/>
        <w:rPr>
          <w:rFonts w:ascii="Arial" w:hAnsi="Arial" w:cs="Arial"/>
          <w:sz w:val="28"/>
          <w:szCs w:val="28"/>
        </w:rPr>
      </w:pPr>
      <w:r w:rsidRPr="004A06D8">
        <w:rPr>
          <w:rFonts w:ascii="Arial" w:hAnsi="Arial" w:cs="Arial"/>
          <w:sz w:val="28"/>
          <w:szCs w:val="28"/>
        </w:rPr>
        <w:t>GAZING MATHEMATICALLY:</w:t>
      </w:r>
      <w:r w:rsidRPr="004A06D8">
        <w:rPr>
          <w:rFonts w:ascii="Arial" w:hAnsi="Arial" w:cs="Arial"/>
          <w:sz w:val="28"/>
          <w:szCs w:val="28"/>
        </w:rPr>
        <w:br/>
        <w:t>SEEING-</w:t>
      </w:r>
      <w:r w:rsidRPr="00E83E3E">
        <w:rPr>
          <w:rFonts w:ascii="Arial" w:hAnsi="Arial" w:cs="Arial"/>
          <w:i/>
          <w:iCs/>
          <w:sz w:val="28"/>
          <w:szCs w:val="28"/>
        </w:rPr>
        <w:t>AS</w:t>
      </w:r>
      <w:r w:rsidRPr="004A06D8">
        <w:rPr>
          <w:rFonts w:ascii="Arial" w:hAnsi="Arial" w:cs="Arial"/>
          <w:sz w:val="28"/>
          <w:szCs w:val="28"/>
        </w:rPr>
        <w:t xml:space="preserve"> AND SEEING-</w:t>
      </w:r>
      <w:r w:rsidRPr="00E83E3E">
        <w:rPr>
          <w:rFonts w:ascii="Arial" w:hAnsi="Arial" w:cs="Arial"/>
          <w:i/>
          <w:iCs/>
          <w:sz w:val="28"/>
          <w:szCs w:val="28"/>
        </w:rPr>
        <w:t>IN</w:t>
      </w:r>
    </w:p>
    <w:p w14:paraId="3A7EEF8E" w14:textId="77777777" w:rsidR="004A06D8" w:rsidRPr="004A06D8" w:rsidRDefault="004A06D8" w:rsidP="004A06D8">
      <w:pPr>
        <w:pStyle w:val="Author"/>
      </w:pPr>
    </w:p>
    <w:p w14:paraId="32E82D61" w14:textId="04AE169C" w:rsidR="004A06D8" w:rsidRDefault="000F32D2" w:rsidP="000F32D2">
      <w:pPr>
        <w:pStyle w:val="Author"/>
        <w:rPr>
          <w:rFonts w:ascii="Arial" w:hAnsi="Arial" w:cs="Arial"/>
          <w:sz w:val="28"/>
          <w:szCs w:val="28"/>
        </w:rPr>
      </w:pPr>
      <w:r w:rsidRPr="004A06D8">
        <w:rPr>
          <w:rFonts w:ascii="Arial" w:hAnsi="Arial" w:cs="Arial"/>
          <w:sz w:val="28"/>
          <w:szCs w:val="28"/>
        </w:rPr>
        <w:t>John Mason</w:t>
      </w:r>
    </w:p>
    <w:p w14:paraId="0BCF4312" w14:textId="1D84286B" w:rsidR="000F32D2" w:rsidRDefault="004A06D8" w:rsidP="000F32D2">
      <w:pPr>
        <w:pStyle w:val="Author"/>
        <w:rPr>
          <w:rFonts w:ascii="Arial" w:hAnsi="Arial" w:cs="Arial"/>
          <w:sz w:val="24"/>
          <w:szCs w:val="24"/>
        </w:rPr>
      </w:pPr>
      <w:r w:rsidRPr="004A06D8">
        <w:rPr>
          <w:rFonts w:ascii="Arial" w:hAnsi="Arial" w:cs="Arial"/>
          <w:sz w:val="24"/>
          <w:szCs w:val="24"/>
        </w:rPr>
        <w:t>john.mason@open.ac.uk</w:t>
      </w:r>
      <w:r w:rsidR="000F32D2" w:rsidRPr="004A06D8">
        <w:rPr>
          <w:rFonts w:ascii="Arial" w:hAnsi="Arial" w:cs="Arial"/>
          <w:sz w:val="24"/>
          <w:szCs w:val="24"/>
        </w:rPr>
        <w:br/>
      </w:r>
    </w:p>
    <w:p w14:paraId="720F5BA6" w14:textId="77777777" w:rsidR="007E5E8C" w:rsidRPr="007E5E8C" w:rsidRDefault="007E5E8C" w:rsidP="007E5E8C">
      <w:pPr>
        <w:pStyle w:val="Author"/>
        <w:rPr>
          <w:rFonts w:ascii="Arial" w:hAnsi="Arial" w:cs="Arial"/>
          <w:sz w:val="24"/>
          <w:szCs w:val="24"/>
        </w:rPr>
      </w:pPr>
    </w:p>
    <w:p w14:paraId="2A9AC3C7" w14:textId="249F3362" w:rsidR="00F7046E" w:rsidRDefault="00F7046E" w:rsidP="004A06D8">
      <w:pPr>
        <w:pStyle w:val="Heading1"/>
        <w:jc w:val="center"/>
      </w:pPr>
      <w:r>
        <w:t>Abstract</w:t>
      </w:r>
    </w:p>
    <w:p w14:paraId="0A82F59F" w14:textId="70B6FAC4" w:rsidR="00F7046E" w:rsidRDefault="00F7046E" w:rsidP="004A06D8">
      <w:pPr>
        <w:ind w:left="720"/>
      </w:pPr>
      <w:r>
        <w:t xml:space="preserve">Might it be that ‘seeing something as’ something else not only pervades mathematics, as well as other subjects, </w:t>
      </w:r>
      <w:r w:rsidR="007923ED">
        <w:t>but that for some learners at least, it requires effort and assistance? Examples are given from both algebra and geometry of seeing-</w:t>
      </w:r>
      <w:r w:rsidR="007923ED" w:rsidRPr="00E83E3E">
        <w:rPr>
          <w:i/>
          <w:iCs/>
        </w:rPr>
        <w:t>as</w:t>
      </w:r>
      <w:r w:rsidR="007923ED">
        <w:t xml:space="preserve"> and seeing-</w:t>
      </w:r>
      <w:r w:rsidR="007923ED" w:rsidRPr="00E83E3E">
        <w:rPr>
          <w:i/>
          <w:iCs/>
        </w:rPr>
        <w:t>in</w:t>
      </w:r>
      <w:r w:rsidR="007923ED">
        <w:t xml:space="preserve"> (seeing one object or form as a component of another) </w:t>
      </w:r>
      <w:proofErr w:type="gramStart"/>
      <w:r w:rsidR="007923ED">
        <w:t>in order to</w:t>
      </w:r>
      <w:proofErr w:type="gramEnd"/>
      <w:r w:rsidR="007923ED">
        <w:t xml:space="preserve"> stimulate the reader to experience the work with attention required.</w:t>
      </w:r>
    </w:p>
    <w:p w14:paraId="36BF305C" w14:textId="77777777" w:rsidR="004A06D8" w:rsidRDefault="004A06D8" w:rsidP="004A06D8">
      <w:pPr>
        <w:ind w:left="720"/>
      </w:pPr>
    </w:p>
    <w:p w14:paraId="1CB6CDBE" w14:textId="0875A9BD" w:rsidR="00F7046E" w:rsidRPr="00F7046E" w:rsidRDefault="00F7046E" w:rsidP="00F7046E">
      <w:pPr>
        <w:pStyle w:val="Heading1"/>
      </w:pPr>
      <w:r>
        <w:t>Introduction</w:t>
      </w:r>
    </w:p>
    <w:p w14:paraId="2A7C3FBD" w14:textId="6E9FAFE0" w:rsidR="000F32D2" w:rsidRDefault="000F32D2" w:rsidP="000F32D2">
      <w:r>
        <w:t>A recent day out in London comprising the Royal Academy’s Summer Exhibition, and Ra</w:t>
      </w:r>
      <w:r w:rsidR="004A06D8">
        <w:t>lph</w:t>
      </w:r>
      <w:r>
        <w:t xml:space="preserve"> Fiennes dramatically reciting the Four Quartets has inspired the following observations.</w:t>
      </w:r>
    </w:p>
    <w:p w14:paraId="6FB96D09" w14:textId="34CFECB8" w:rsidR="000F32D2" w:rsidRDefault="000F32D2" w:rsidP="002E416A">
      <w:pPr>
        <w:pStyle w:val="Display"/>
      </w:pPr>
      <w:r>
        <w:t>To gaze upon some discern</w:t>
      </w:r>
      <w:r w:rsidR="00B62D88">
        <w:t>e</w:t>
      </w:r>
      <w:r>
        <w:t>d whole,</w:t>
      </w:r>
    </w:p>
    <w:p w14:paraId="6803E912" w14:textId="06E835DE" w:rsidR="000F32D2" w:rsidRDefault="000F32D2" w:rsidP="00B62D88">
      <w:pPr>
        <w:pStyle w:val="Display"/>
      </w:pPr>
      <w:r>
        <w:t>Not tentatively</w:t>
      </w:r>
      <w:r w:rsidR="00B62D88">
        <w:t xml:space="preserve"> nor</w:t>
      </w:r>
      <w:r>
        <w:t xml:space="preserve">, </w:t>
      </w:r>
      <w:r w:rsidR="002E416A">
        <w:t>as transient</w:t>
      </w:r>
      <w:r>
        <w:t>,</w:t>
      </w:r>
    </w:p>
    <w:p w14:paraId="23A378CD" w14:textId="1E3AA8F7" w:rsidR="000F32D2" w:rsidRDefault="000F32D2" w:rsidP="002E416A">
      <w:pPr>
        <w:pStyle w:val="Display"/>
      </w:pPr>
      <w:r>
        <w:t xml:space="preserve">Not just with body, </w:t>
      </w:r>
      <w:proofErr w:type="gramStart"/>
      <w:r>
        <w:t>heart</w:t>
      </w:r>
      <w:proofErr w:type="gramEnd"/>
      <w:r>
        <w:t xml:space="preserve"> and head, but spirit too,</w:t>
      </w:r>
    </w:p>
    <w:p w14:paraId="071A9CA0" w14:textId="471B5DCF" w:rsidR="000F32D2" w:rsidRDefault="00B62D88" w:rsidP="002E416A">
      <w:pPr>
        <w:pStyle w:val="Display"/>
      </w:pPr>
      <w:r>
        <w:t>May lead</w:t>
      </w:r>
      <w:r w:rsidR="000F32D2">
        <w:t xml:space="preserve"> to a threshold at the arch of experience,</w:t>
      </w:r>
    </w:p>
    <w:p w14:paraId="12CB9318" w14:textId="35C8C08C" w:rsidR="000F32D2" w:rsidRDefault="000F32D2" w:rsidP="002E416A">
      <w:pPr>
        <w:pStyle w:val="Display"/>
      </w:pPr>
      <w:r>
        <w:t>Where</w:t>
      </w:r>
      <w:r w:rsidR="002E416A">
        <w:t xml:space="preserve"> </w:t>
      </w:r>
      <w:r>
        <w:t>through gleams that inexpressible world of form.</w:t>
      </w:r>
    </w:p>
    <w:p w14:paraId="2C98E0A6" w14:textId="2E2A3B81" w:rsidR="000F32D2" w:rsidRDefault="000F32D2" w:rsidP="002E416A">
      <w:pPr>
        <w:pStyle w:val="Display"/>
      </w:pPr>
      <w:r>
        <w:t>Cave-freed</w:t>
      </w:r>
      <w:r w:rsidR="002E416A">
        <w:t>,</w:t>
      </w:r>
      <w:r>
        <w:t xml:space="preserve"> however temporary,</w:t>
      </w:r>
      <w:r w:rsidR="002E416A">
        <w:t xml:space="preserve"> </w:t>
      </w:r>
    </w:p>
    <w:p w14:paraId="253992D7" w14:textId="313BB212" w:rsidR="002E416A" w:rsidRDefault="002E416A" w:rsidP="002E416A">
      <w:pPr>
        <w:pStyle w:val="Display"/>
      </w:pPr>
      <w:r>
        <w:t>To express what is experienced is to over stress,</w:t>
      </w:r>
    </w:p>
    <w:p w14:paraId="5A2B267E" w14:textId="33B6AD8D" w:rsidR="002E416A" w:rsidRDefault="002E416A" w:rsidP="002E416A">
      <w:pPr>
        <w:pStyle w:val="Display"/>
      </w:pPr>
      <w:r>
        <w:t xml:space="preserve">To overlay the unexpressed, the </w:t>
      </w:r>
      <w:proofErr w:type="gramStart"/>
      <w:r>
        <w:t>as yet</w:t>
      </w:r>
      <w:proofErr w:type="gramEnd"/>
      <w:r>
        <w:t xml:space="preserve"> inchoate,</w:t>
      </w:r>
    </w:p>
    <w:p w14:paraId="022CBB44" w14:textId="0BFF92EC" w:rsidR="002E416A" w:rsidRDefault="002E416A" w:rsidP="002E416A">
      <w:pPr>
        <w:pStyle w:val="Display"/>
      </w:pPr>
      <w:r>
        <w:t xml:space="preserve">Hiding </w:t>
      </w:r>
      <w:r w:rsidR="00B62D88">
        <w:t>totality</w:t>
      </w:r>
      <w:r>
        <w:t xml:space="preserve"> from view.</w:t>
      </w:r>
    </w:p>
    <w:p w14:paraId="70CD987C" w14:textId="2F6076BA" w:rsidR="00170B6B" w:rsidRDefault="00170B6B" w:rsidP="002E416A">
      <w:r>
        <w:t>One of the strands of the Four Quartets is the futility yet necessity of trying to express the ineffable.</w:t>
      </w:r>
    </w:p>
    <w:p w14:paraId="6A2EF996" w14:textId="0EDF3AFB" w:rsidR="002E416A" w:rsidRDefault="002E416A" w:rsidP="002E416A">
      <w:r>
        <w:t>Promenading through the Summer Exhibition, the walls literally covered</w:t>
      </w:r>
      <w:r w:rsidR="00B62D88">
        <w:t>,</w:t>
      </w:r>
      <w:r>
        <w:t xml:space="preserve"> with over a thousand objects declared by their presence to be works of art, occasionally something speaks to my condition. A connection is made with my past experience, and </w:t>
      </w:r>
      <w:r w:rsidR="00B62D88">
        <w:t>the object</w:t>
      </w:r>
      <w:r>
        <w:t xml:space="preserve"> is </w:t>
      </w:r>
      <w:proofErr w:type="gramStart"/>
      <w:r>
        <w:t>seen-as</w:t>
      </w:r>
      <w:proofErr w:type="gramEnd"/>
      <w:r w:rsidR="00B62D88">
        <w:t xml:space="preserve"> something else,</w:t>
      </w:r>
      <w:r>
        <w:t xml:space="preserve"> metaphorically saying something deeper, more abstract, certainly more general. Sometimes it is not the whole of an object but some part, so that what is discerned is meaning </w:t>
      </w:r>
      <w:proofErr w:type="gramStart"/>
      <w:r>
        <w:t>seen-in.</w:t>
      </w:r>
      <w:proofErr w:type="gramEnd"/>
      <w:r>
        <w:t xml:space="preserve"> A discerned whole within a whole is </w:t>
      </w:r>
      <w:proofErr w:type="gramStart"/>
      <w:r>
        <w:t>seen-as</w:t>
      </w:r>
      <w:proofErr w:type="gramEnd"/>
      <w:r>
        <w:t>.</w:t>
      </w:r>
    </w:p>
    <w:p w14:paraId="50D7FA0B" w14:textId="037FC30A" w:rsidR="002E416A" w:rsidRDefault="002E416A" w:rsidP="002E416A">
      <w:r>
        <w:t xml:space="preserve">I offer in what follows some </w:t>
      </w:r>
      <w:r w:rsidR="00B62D88">
        <w:t xml:space="preserve">possible </w:t>
      </w:r>
      <w:r>
        <w:t>mathematical examples of seeing-as and seeing-in</w:t>
      </w:r>
    </w:p>
    <w:p w14:paraId="3530D2E5" w14:textId="4335D63A" w:rsidR="002E416A" w:rsidRDefault="002E416A" w:rsidP="002E416A">
      <w:pPr>
        <w:pStyle w:val="Heading2"/>
      </w:pPr>
      <w:r>
        <w:t>Algebra Example</w:t>
      </w:r>
    </w:p>
    <w:p w14:paraId="036859EC" w14:textId="6CB0C492" w:rsidR="002E416A" w:rsidRDefault="002E416A" w:rsidP="002E416A">
      <w:r>
        <w:t xml:space="preserve">Often an algebraic expression looks complicated. It may be simplified by factoring (thanks to computer algebra!) or made up of components most of which are themselves of some standard form (difference of two squares? squares of differences? Pythagorean-like </w:t>
      </w:r>
      <w:r>
        <w:lastRenderedPageBreak/>
        <w:t>expressions?).</w:t>
      </w:r>
      <w:r w:rsidR="00170B6B">
        <w:t xml:space="preserve"> Gazing at an expression, not mindlessly, yet not mindfully if </w:t>
      </w:r>
      <w:r w:rsidR="00B62D88">
        <w:t xml:space="preserve">that means being </w:t>
      </w:r>
      <w:r w:rsidR="00170B6B">
        <w:t xml:space="preserve">dominated by the analytic logic of cognition, can bring to the fore (not so much to mind as to awareness in the form of a possible action) recognition, realisation of the possibility of an alternative form. </w:t>
      </w:r>
    </w:p>
    <w:p w14:paraId="751F9DAF" w14:textId="0E6C3403" w:rsidR="00F170B6" w:rsidRDefault="00170B6B" w:rsidP="00F170B6">
      <w:pPr>
        <w:pStyle w:val="Heading3"/>
      </w:pPr>
      <w:r>
        <w:t>Characterising Bilinear Expressions</w:t>
      </w:r>
    </w:p>
    <w:p w14:paraId="43C484D4" w14:textId="76731893" w:rsidR="00F170B6" w:rsidRDefault="00F170B6" w:rsidP="00F170B6">
      <w:r>
        <w:t xml:space="preserve">Sundaram’s generalised grid </w:t>
      </w:r>
      <w:r w:rsidR="00165F75">
        <w:t xml:space="preserve">consists of </w:t>
      </w:r>
      <w:r>
        <w:t xml:space="preserve">a </w:t>
      </w:r>
      <w:r w:rsidR="00165F75">
        <w:t xml:space="preserve">two-way infinite grid whose rows and columns are in arithmetic progression (but possibly different differences). A </w:t>
      </w:r>
      <w:r>
        <w:t>bilinear expression</w:t>
      </w:r>
      <w:r w:rsidR="00165F75">
        <w:t xml:space="preserve"> of the form</w:t>
      </w:r>
      <w:r>
        <w:t xml:space="preserve"> </w:t>
      </w:r>
      <w:r w:rsidR="00165F75">
        <w:rPr>
          <w:i/>
          <w:iCs/>
        </w:rPr>
        <w:t>E</w:t>
      </w:r>
      <w:r w:rsidR="00165F75">
        <w:t xml:space="preserve"> = </w:t>
      </w:r>
      <w:r w:rsidR="00165F75">
        <w:rPr>
          <w:i/>
          <w:iCs/>
        </w:rPr>
        <w:t>axy</w:t>
      </w:r>
      <w:r w:rsidR="00165F75">
        <w:t xml:space="preserve"> + </w:t>
      </w:r>
      <w:r w:rsidR="00165F75">
        <w:rPr>
          <w:i/>
          <w:iCs/>
        </w:rPr>
        <w:t>bx</w:t>
      </w:r>
      <w:r w:rsidR="00165F75">
        <w:t xml:space="preserve"> + </w:t>
      </w:r>
      <w:r w:rsidR="00165F75">
        <w:rPr>
          <w:i/>
          <w:iCs/>
        </w:rPr>
        <w:t>cy</w:t>
      </w:r>
      <w:r w:rsidR="00165F75">
        <w:t xml:space="preserve"> + </w:t>
      </w:r>
      <w:r w:rsidR="00165F75">
        <w:rPr>
          <w:i/>
          <w:iCs/>
        </w:rPr>
        <w:t>d</w:t>
      </w:r>
      <w:r w:rsidR="00165F75">
        <w:t xml:space="preserve"> </w:t>
      </w:r>
      <w:r>
        <w:t>appears</w:t>
      </w:r>
      <w:r w:rsidR="00B62D88">
        <w:t xml:space="preserve"> while characterising the numbers which can appear in the grid</w:t>
      </w:r>
      <w:r>
        <w:t xml:space="preserve">. The same appears when counting the number of moves in Leapfrogs </w:t>
      </w:r>
      <w:r w:rsidR="00B833E4">
        <w:t xml:space="preserve">(Dudeney 1917: problems 215, 216, 217) </w:t>
      </w:r>
      <w:r w:rsidR="00165F75">
        <w:t>or the number of perforations in a block of stamps, among many other places</w:t>
      </w:r>
      <w:r>
        <w:t>.</w:t>
      </w:r>
    </w:p>
    <w:p w14:paraId="7B31CFF0" w14:textId="60E1FCD6" w:rsidR="00F170B6" w:rsidRDefault="00170B6B" w:rsidP="00F170B6">
      <w:pPr>
        <w:pStyle w:val="Display"/>
      </w:pPr>
      <w:r>
        <w:rPr>
          <w:i/>
          <w:iCs/>
        </w:rPr>
        <w:t>aE</w:t>
      </w:r>
      <w:r>
        <w:t xml:space="preserve"> = </w:t>
      </w:r>
      <w:r>
        <w:rPr>
          <w:i/>
          <w:iCs/>
        </w:rPr>
        <w:t>a</w:t>
      </w:r>
      <w:r>
        <w:rPr>
          <w:vertAlign w:val="superscript"/>
        </w:rPr>
        <w:t>2</w:t>
      </w:r>
      <w:r>
        <w:rPr>
          <w:i/>
          <w:iCs/>
        </w:rPr>
        <w:t>xy</w:t>
      </w:r>
      <w:r>
        <w:t xml:space="preserve"> + </w:t>
      </w:r>
      <w:r>
        <w:rPr>
          <w:i/>
          <w:iCs/>
        </w:rPr>
        <w:t>abx</w:t>
      </w:r>
      <w:r>
        <w:t xml:space="preserve"> + </w:t>
      </w:r>
      <w:r>
        <w:rPr>
          <w:i/>
          <w:iCs/>
        </w:rPr>
        <w:t>acz</w:t>
      </w:r>
      <w:r>
        <w:t xml:space="preserve"> + </w:t>
      </w:r>
      <w:r>
        <w:rPr>
          <w:i/>
          <w:iCs/>
        </w:rPr>
        <w:t>ad</w:t>
      </w:r>
      <w:r>
        <w:t xml:space="preserve"> = (</w:t>
      </w:r>
      <w:r>
        <w:rPr>
          <w:i/>
          <w:iCs/>
        </w:rPr>
        <w:t>ax</w:t>
      </w:r>
      <w:r>
        <w:t xml:space="preserve"> + </w:t>
      </w:r>
      <w:proofErr w:type="gramStart"/>
      <w:r>
        <w:rPr>
          <w:i/>
          <w:iCs/>
        </w:rPr>
        <w:t>c</w:t>
      </w:r>
      <w:r>
        <w:t>)(</w:t>
      </w:r>
      <w:proofErr w:type="gramEnd"/>
      <w:r>
        <w:rPr>
          <w:i/>
          <w:iCs/>
        </w:rPr>
        <w:t>ay</w:t>
      </w:r>
      <w:r>
        <w:t xml:space="preserve">+ </w:t>
      </w:r>
      <w:r>
        <w:rPr>
          <w:i/>
          <w:iCs/>
        </w:rPr>
        <w:t>b</w:t>
      </w:r>
      <w:r>
        <w:t xml:space="preserve">) + </w:t>
      </w:r>
      <w:r>
        <w:rPr>
          <w:i/>
          <w:iCs/>
        </w:rPr>
        <w:t>ad – bc</w:t>
      </w:r>
    </w:p>
    <w:p w14:paraId="58AD96FA" w14:textId="6B2D0A55" w:rsidR="00170B6B" w:rsidRDefault="00170B6B" w:rsidP="00170B6B">
      <w:r>
        <w:t xml:space="preserve">and the constant term </w:t>
      </w:r>
      <w:r>
        <w:rPr>
          <w:i/>
          <w:iCs/>
        </w:rPr>
        <w:t xml:space="preserve">ad – </w:t>
      </w:r>
      <w:r w:rsidRPr="00170B6B">
        <w:rPr>
          <w:i/>
          <w:iCs/>
        </w:rPr>
        <w:t>bc</w:t>
      </w:r>
      <w:r>
        <w:rPr>
          <w:i/>
          <w:iCs/>
        </w:rPr>
        <w:t xml:space="preserve"> </w:t>
      </w:r>
      <w:r w:rsidRPr="00170B6B">
        <w:t>is redolent of determinants</w:t>
      </w:r>
      <w:r>
        <w:t xml:space="preserve">. </w:t>
      </w:r>
      <w:proofErr w:type="gramStart"/>
      <w:r>
        <w:t>Consequently</w:t>
      </w:r>
      <w:proofErr w:type="gramEnd"/>
      <w:r>
        <w:t xml:space="preserve"> a number </w:t>
      </w:r>
      <w:r>
        <w:rPr>
          <w:i/>
          <w:iCs/>
        </w:rPr>
        <w:t>N</w:t>
      </w:r>
      <w:r>
        <w:t xml:space="preserve"> can be expressed as </w:t>
      </w:r>
      <w:r>
        <w:rPr>
          <w:i/>
          <w:iCs/>
        </w:rPr>
        <w:t>axy</w:t>
      </w:r>
      <w:r>
        <w:t xml:space="preserve"> + </w:t>
      </w:r>
      <w:r>
        <w:rPr>
          <w:i/>
          <w:iCs/>
        </w:rPr>
        <w:t>bx</w:t>
      </w:r>
      <w:r>
        <w:t xml:space="preserve"> + </w:t>
      </w:r>
      <w:r>
        <w:rPr>
          <w:i/>
          <w:iCs/>
        </w:rPr>
        <w:t>cy</w:t>
      </w:r>
      <w:r>
        <w:t xml:space="preserve"> + </w:t>
      </w:r>
      <w:r>
        <w:rPr>
          <w:i/>
          <w:iCs/>
        </w:rPr>
        <w:t>d</w:t>
      </w:r>
      <w:r>
        <w:t xml:space="preserve"> if and only if </w:t>
      </w:r>
      <w:r>
        <w:rPr>
          <w:i/>
          <w:iCs/>
        </w:rPr>
        <w:t>a</w:t>
      </w:r>
      <w:r w:rsidRPr="00170B6B">
        <w:rPr>
          <w:i/>
          <w:iCs/>
        </w:rPr>
        <w:t>N</w:t>
      </w:r>
      <w:r>
        <w:rPr>
          <w:i/>
          <w:iCs/>
        </w:rPr>
        <w:t xml:space="preserve"> + bc</w:t>
      </w:r>
      <w:r>
        <w:t xml:space="preserve"> – </w:t>
      </w:r>
      <w:r>
        <w:rPr>
          <w:i/>
          <w:iCs/>
        </w:rPr>
        <w:t>ad</w:t>
      </w:r>
      <w:r>
        <w:t xml:space="preserve"> is the product of two numbers, of the form (</w:t>
      </w:r>
      <w:r>
        <w:rPr>
          <w:i/>
          <w:iCs/>
        </w:rPr>
        <w:t>ax</w:t>
      </w:r>
      <w:r>
        <w:t xml:space="preserve"> + </w:t>
      </w:r>
      <w:r>
        <w:rPr>
          <w:i/>
          <w:iCs/>
        </w:rPr>
        <w:t>c</w:t>
      </w:r>
      <w:r>
        <w:t>) and (</w:t>
      </w:r>
      <w:r w:rsidR="00B62D88">
        <w:rPr>
          <w:i/>
          <w:iCs/>
        </w:rPr>
        <w:t>a</w:t>
      </w:r>
      <w:r>
        <w:rPr>
          <w:i/>
          <w:iCs/>
        </w:rPr>
        <w:t>y</w:t>
      </w:r>
      <w:r>
        <w:t xml:space="preserve"> + </w:t>
      </w:r>
      <w:r w:rsidR="00B62D88">
        <w:rPr>
          <w:i/>
          <w:iCs/>
        </w:rPr>
        <w:t>b</w:t>
      </w:r>
      <w:r>
        <w:t>).</w:t>
      </w:r>
      <w:r w:rsidR="00B62D88">
        <w:t xml:space="preserve"> In other words, </w:t>
      </w:r>
      <w:r w:rsidR="00B62D88">
        <w:rPr>
          <w:i/>
          <w:iCs/>
        </w:rPr>
        <w:t>aN</w:t>
      </w:r>
      <w:r w:rsidR="00B62D88">
        <w:t xml:space="preserve"> – (</w:t>
      </w:r>
      <w:r w:rsidR="00B62D88">
        <w:rPr>
          <w:i/>
          <w:iCs/>
        </w:rPr>
        <w:t>ad</w:t>
      </w:r>
      <w:r w:rsidR="00B62D88">
        <w:t xml:space="preserve"> – </w:t>
      </w:r>
      <w:r w:rsidR="00B62D88">
        <w:rPr>
          <w:i/>
          <w:iCs/>
        </w:rPr>
        <w:t>bc</w:t>
      </w:r>
      <w:r w:rsidR="00B62D88">
        <w:t xml:space="preserve">) is the product of two numbers congruent to </w:t>
      </w:r>
      <w:r w:rsidR="00B62D88">
        <w:rPr>
          <w:i/>
          <w:iCs/>
        </w:rPr>
        <w:t>b</w:t>
      </w:r>
      <w:r w:rsidR="00B62D88">
        <w:t xml:space="preserve"> and to </w:t>
      </w:r>
      <w:r w:rsidR="00B62D88">
        <w:rPr>
          <w:i/>
          <w:iCs/>
        </w:rPr>
        <w:t>c</w:t>
      </w:r>
      <w:r w:rsidR="00B62D88">
        <w:t xml:space="preserve"> modulo </w:t>
      </w:r>
      <w:r w:rsidR="00B62D88">
        <w:rPr>
          <w:i/>
          <w:iCs/>
        </w:rPr>
        <w:t>a</w:t>
      </w:r>
      <w:r w:rsidR="00B62D88">
        <w:t>, respectively.</w:t>
      </w:r>
    </w:p>
    <w:p w14:paraId="39F2587D" w14:textId="37B1ACF8" w:rsidR="0073547B" w:rsidRPr="00824426" w:rsidRDefault="0073547B" w:rsidP="00170B6B">
      <w:r>
        <w:t>Sundaram’s grid</w:t>
      </w:r>
      <w:r w:rsidR="00824426">
        <w:t xml:space="preserve"> (</w:t>
      </w:r>
      <w:r w:rsidR="00E448FD">
        <w:t xml:space="preserve">PMTheta webste; </w:t>
      </w:r>
      <w:r>
        <w:t>see</w:t>
      </w:r>
      <w:r w:rsidR="00E448FD">
        <w:t xml:space="preserve"> also</w:t>
      </w:r>
      <w:r>
        <w:t xml:space="preserve"> Havil</w:t>
      </w:r>
      <w:r w:rsidR="00E448FD">
        <w:t xml:space="preserve"> 2009;</w:t>
      </w:r>
      <w:r>
        <w:t xml:space="preserve"> Honsberger </w:t>
      </w:r>
      <w:r w:rsidR="00E448FD">
        <w:t>1970</w:t>
      </w:r>
      <w:r>
        <w:t xml:space="preserve">, Ramaswami </w:t>
      </w:r>
      <w:r w:rsidR="00E448FD">
        <w:t>1934</w:t>
      </w:r>
      <w:r>
        <w:t>) can be seen as a sieve</w:t>
      </w:r>
      <w:r w:rsidR="00E448FD">
        <w:t xml:space="preserve"> (Wikipedia website)</w:t>
      </w:r>
      <w:r>
        <w:t xml:space="preserve">, by starting with the positive integers and removing all numbers expressed as </w:t>
      </w:r>
      <w:r w:rsidR="00824426" w:rsidRPr="00824426">
        <w:rPr>
          <w:i/>
          <w:iCs/>
        </w:rPr>
        <w:t>jk</w:t>
      </w:r>
      <w:r w:rsidR="00824426">
        <w:t xml:space="preserve"> + </w:t>
      </w:r>
      <w:r w:rsidR="00824426">
        <w:rPr>
          <w:i/>
          <w:iCs/>
        </w:rPr>
        <w:t>j</w:t>
      </w:r>
      <w:r w:rsidR="00824426">
        <w:t xml:space="preserve"> + </w:t>
      </w:r>
      <w:r w:rsidR="00824426">
        <w:rPr>
          <w:i/>
          <w:iCs/>
        </w:rPr>
        <w:t>k</w:t>
      </w:r>
      <w:r w:rsidR="00824426">
        <w:t xml:space="preserve"> for some integers </w:t>
      </w:r>
      <w:r w:rsidR="00824426">
        <w:rPr>
          <w:i/>
          <w:iCs/>
        </w:rPr>
        <w:t>j</w:t>
      </w:r>
      <w:r w:rsidR="00824426">
        <w:t xml:space="preserve"> and </w:t>
      </w:r>
      <w:r w:rsidR="00824426">
        <w:rPr>
          <w:i/>
          <w:iCs/>
        </w:rPr>
        <w:t>k</w:t>
      </w:r>
      <w:r w:rsidR="00824426">
        <w:t>.</w:t>
      </w:r>
    </w:p>
    <w:p w14:paraId="3A988310" w14:textId="4B11C345" w:rsidR="00B62D88" w:rsidRPr="00B62D88" w:rsidRDefault="00B62D88" w:rsidP="00170B6B">
      <w:r>
        <w:t>With experience, the sight of a bilinear expression is likely to bring to the surface this manipulation, this form. Algebra is full of such alternative forms</w:t>
      </w:r>
      <w:r w:rsidR="00E448FD">
        <w:t xml:space="preserve"> (</w:t>
      </w:r>
      <w:r w:rsidR="008B760F">
        <w:t>see for example Carr 1886 whose book inspired Ramanujan)</w:t>
      </w:r>
      <w:r>
        <w:t>.</w:t>
      </w:r>
    </w:p>
    <w:p w14:paraId="0304E06C" w14:textId="77777777" w:rsidR="00170B6B" w:rsidRDefault="00170B6B" w:rsidP="00170B6B">
      <w:pPr>
        <w:pStyle w:val="Heading3"/>
      </w:pPr>
      <w:r>
        <w:t>The Geometrically Pervasive Nature of Scaling</w:t>
      </w:r>
    </w:p>
    <w:p w14:paraId="00E4820A" w14:textId="0CBE759B" w:rsidR="00170B6B" w:rsidRDefault="00170B6B" w:rsidP="00170B6B">
      <w:r>
        <w:t xml:space="preserve">Given two points </w:t>
      </w:r>
      <w:r>
        <w:rPr>
          <w:i/>
          <w:iCs/>
        </w:rPr>
        <w:t>C</w:t>
      </w:r>
      <w:r>
        <w:rPr>
          <w:vertAlign w:val="subscript"/>
        </w:rPr>
        <w:t>1</w:t>
      </w:r>
      <w:r>
        <w:t xml:space="preserve"> and </w:t>
      </w:r>
      <w:r>
        <w:rPr>
          <w:i/>
          <w:iCs/>
        </w:rPr>
        <w:t>C</w:t>
      </w:r>
      <w:r>
        <w:rPr>
          <w:vertAlign w:val="subscript"/>
        </w:rPr>
        <w:t>2</w:t>
      </w:r>
      <w:r>
        <w:t xml:space="preserve"> in the plane, for any point </w:t>
      </w:r>
      <w:r>
        <w:rPr>
          <w:i/>
          <w:iCs/>
        </w:rPr>
        <w:t>P</w:t>
      </w:r>
      <w:r>
        <w:t xml:space="preserve">, scaling </w:t>
      </w:r>
      <w:r>
        <w:rPr>
          <w:i/>
          <w:iCs/>
        </w:rPr>
        <w:t>P</w:t>
      </w:r>
      <w:r>
        <w:t xml:space="preserve"> from </w:t>
      </w:r>
      <w:r>
        <w:rPr>
          <w:i/>
          <w:iCs/>
        </w:rPr>
        <w:t>C</w:t>
      </w:r>
      <w:r>
        <w:rPr>
          <w:vertAlign w:val="subscript"/>
        </w:rPr>
        <w:t xml:space="preserve">1 </w:t>
      </w:r>
      <w:r>
        <w:t xml:space="preserve">as centre by a scale factor of </w:t>
      </w:r>
      <w:r>
        <w:sym w:font="Symbol" w:char="F073"/>
      </w:r>
      <w:r>
        <w:rPr>
          <w:vertAlign w:val="subscript"/>
        </w:rPr>
        <w:t>1</w:t>
      </w:r>
      <w:r>
        <w:t xml:space="preserve"> to </w:t>
      </w:r>
      <w:r>
        <w:rPr>
          <w:i/>
          <w:iCs/>
        </w:rPr>
        <w:t>P</w:t>
      </w:r>
      <w:r w:rsidR="00410912" w:rsidRPr="00410912">
        <w:rPr>
          <w:vertAlign w:val="subscript"/>
        </w:rPr>
        <w:t>1</w:t>
      </w:r>
      <w:r>
        <w:t>, then sca</w:t>
      </w:r>
      <w:r w:rsidR="00410912">
        <w:t xml:space="preserve">ling </w:t>
      </w:r>
      <w:r w:rsidR="00410912">
        <w:rPr>
          <w:i/>
          <w:iCs/>
        </w:rPr>
        <w:t>P</w:t>
      </w:r>
      <w:r w:rsidR="00410912">
        <w:rPr>
          <w:vertAlign w:val="subscript"/>
        </w:rPr>
        <w:t>1</w:t>
      </w:r>
      <w:r w:rsidR="00410912">
        <w:t xml:space="preserve"> from </w:t>
      </w:r>
      <w:r w:rsidR="00410912">
        <w:rPr>
          <w:i/>
          <w:iCs/>
        </w:rPr>
        <w:t>C</w:t>
      </w:r>
      <w:r w:rsidR="00410912">
        <w:rPr>
          <w:vertAlign w:val="subscript"/>
        </w:rPr>
        <w:t>2</w:t>
      </w:r>
      <w:r w:rsidR="00410912">
        <w:t xml:space="preserve"> as centre by a scale factor of </w:t>
      </w:r>
      <w:r w:rsidR="00410912">
        <w:sym w:font="Symbol" w:char="F073"/>
      </w:r>
      <w:r w:rsidR="00410912">
        <w:rPr>
          <w:vertAlign w:val="subscript"/>
        </w:rPr>
        <w:t>2</w:t>
      </w:r>
      <w:r w:rsidR="00410912">
        <w:t xml:space="preserve"> to </w:t>
      </w:r>
      <w:r w:rsidR="00410912">
        <w:rPr>
          <w:i/>
          <w:iCs/>
        </w:rPr>
        <w:t>P</w:t>
      </w:r>
      <w:r w:rsidR="00410912">
        <w:rPr>
          <w:i/>
          <w:iCs/>
          <w:vertAlign w:val="subscript"/>
        </w:rPr>
        <w:t>21</w:t>
      </w:r>
      <w:r w:rsidR="00410912">
        <w:t xml:space="preserve"> can be depicted as on the left in Figure 1.</w:t>
      </w:r>
    </w:p>
    <w:p w14:paraId="2C6D7C54" w14:textId="093800B1" w:rsidR="00410912" w:rsidRDefault="00D96E76" w:rsidP="00410912">
      <w:pPr>
        <w:jc w:val="center"/>
      </w:pPr>
      <w:r w:rsidRPr="00D96E76">
        <w:rPr>
          <w:noProof/>
        </w:rPr>
        <w:drawing>
          <wp:inline distT="0" distB="0" distL="0" distR="0" wp14:anchorId="447F3DF9" wp14:editId="5026164E">
            <wp:extent cx="2169622" cy="1648624"/>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88010" cy="1662596"/>
                    </a:xfrm>
                    <a:prstGeom prst="rect">
                      <a:avLst/>
                    </a:prstGeom>
                  </pic:spPr>
                </pic:pic>
              </a:graphicData>
            </a:graphic>
          </wp:inline>
        </w:drawing>
      </w:r>
    </w:p>
    <w:p w14:paraId="6FB1F7D2" w14:textId="27EAEE65" w:rsidR="00410912" w:rsidRDefault="00410912" w:rsidP="00410912">
      <w:pPr>
        <w:jc w:val="center"/>
      </w:pPr>
      <w:r>
        <w:t>Figure 1:</w:t>
      </w:r>
      <w:r w:rsidR="00B833E4">
        <w:t xml:space="preserve"> composition of two scalings from different centres</w:t>
      </w:r>
    </w:p>
    <w:p w14:paraId="5F6200BC" w14:textId="03268C08" w:rsidR="00410912" w:rsidRDefault="00410912" w:rsidP="00410912">
      <w:r>
        <w:t>The two scalings together can be seen</w:t>
      </w:r>
      <w:r w:rsidR="00044C7E">
        <w:t>-</w:t>
      </w:r>
      <w:r>
        <w:t xml:space="preserve">as a single scaling from the point </w:t>
      </w:r>
      <w:r>
        <w:rPr>
          <w:i/>
          <w:iCs/>
        </w:rPr>
        <w:t>C</w:t>
      </w:r>
      <w:r>
        <w:rPr>
          <w:vertAlign w:val="subscript"/>
        </w:rPr>
        <w:t>21</w:t>
      </w:r>
      <w:r>
        <w:t xml:space="preserve"> by a scale factor of </w:t>
      </w:r>
      <w:r>
        <w:sym w:font="Symbol" w:char="F073"/>
      </w:r>
      <w:r>
        <w:rPr>
          <w:vertAlign w:val="subscript"/>
        </w:rPr>
        <w:t>2</w:t>
      </w:r>
      <w:r>
        <w:sym w:font="Symbol" w:char="F073"/>
      </w:r>
      <w:r>
        <w:rPr>
          <w:vertAlign w:val="subscript"/>
        </w:rPr>
        <w:t>1</w:t>
      </w:r>
      <w:r>
        <w:t xml:space="preserve"> as depicted </w:t>
      </w:r>
      <w:r w:rsidR="00B833E4">
        <w:t>in</w:t>
      </w:r>
      <w:r>
        <w:t xml:space="preserve"> Figure 1.</w:t>
      </w:r>
      <w:r w:rsidR="00044C7E">
        <w:t xml:space="preserve"> Notice that simple gazing is not enough to see-as. Attention needs to be directed and certain features stressed, such as “the point being scaled”, “the centre of scaling”</w:t>
      </w:r>
      <w:proofErr w:type="gramStart"/>
      <w:r w:rsidR="00044C7E">
        <w:t>, ”the</w:t>
      </w:r>
      <w:proofErr w:type="gramEnd"/>
      <w:r w:rsidR="00044C7E">
        <w:t xml:space="preserve"> scale factor”</w:t>
      </w:r>
      <w:r w:rsidR="00D96E76">
        <w:t>, at least at first</w:t>
      </w:r>
      <w:r w:rsidR="00044C7E">
        <w:t>.</w:t>
      </w:r>
    </w:p>
    <w:p w14:paraId="0C87AD27" w14:textId="64058334" w:rsidR="00BF59BE" w:rsidRDefault="00410912" w:rsidP="00410912">
      <w:r>
        <w:t xml:space="preserve">The overall configuration is ubiquitous, and not just in geometry, for it can be </w:t>
      </w:r>
      <w:proofErr w:type="gramStart"/>
      <w:r>
        <w:t>seen</w:t>
      </w:r>
      <w:r w:rsidR="00646846">
        <w:t>-</w:t>
      </w:r>
      <w:r>
        <w:t>as</w:t>
      </w:r>
      <w:proofErr w:type="gramEnd"/>
      <w:r>
        <w:t xml:space="preserve"> depicting the relationship between vertices and edges of a complete graph on four points: vertices </w:t>
      </w:r>
      <w:r w:rsidR="00BF59BE">
        <w:t xml:space="preserve">of the graph </w:t>
      </w:r>
      <w:r>
        <w:t xml:space="preserve">are </w:t>
      </w:r>
      <w:r w:rsidR="00BF59BE">
        <w:t>lines</w:t>
      </w:r>
      <w:r>
        <w:t xml:space="preserve"> of the configuration, and </w:t>
      </w:r>
      <w:r w:rsidR="00BF59BE">
        <w:t>vertices are joined</w:t>
      </w:r>
      <w:r w:rsidR="00D96E76">
        <w:t xml:space="preserve"> in the graph</w:t>
      </w:r>
      <w:r w:rsidR="00BF59BE">
        <w:t xml:space="preserve"> when </w:t>
      </w:r>
      <w:r w:rsidR="00BF59BE">
        <w:lastRenderedPageBreak/>
        <w:t xml:space="preserve">the corresponding lines intersect in a point of the configuration. Three points lie on a line of the configuration when the corresponding vertices belong to a circuit </w:t>
      </w:r>
      <w:r w:rsidR="00646846">
        <w:t>in</w:t>
      </w:r>
      <w:r w:rsidR="00BF59BE">
        <w:t xml:space="preserve"> the graph</w:t>
      </w:r>
      <w:r>
        <w:t xml:space="preserve"> (</w:t>
      </w:r>
      <w:r w:rsidR="00D96E76">
        <w:t>Coxeter 1950</w:t>
      </w:r>
      <w:r>
        <w:t xml:space="preserve">). </w:t>
      </w:r>
    </w:p>
    <w:p w14:paraId="70004527" w14:textId="01B276A8" w:rsidR="00646846" w:rsidRDefault="00410912" w:rsidP="00410912">
      <w:r>
        <w:t xml:space="preserve">In the configuration, there are 4 lines each with three points of the configuration, and each pair of lines of the configuration meets in a single point of the configuration. The reason for repeating “of the configuration” is that learners often want lines that cross each other to be considered to </w:t>
      </w:r>
      <w:proofErr w:type="gramStart"/>
      <w:r>
        <w:t>intersect, when</w:t>
      </w:r>
      <w:proofErr w:type="gramEnd"/>
      <w:r>
        <w:t xml:space="preserve"> that is not part of the configuration. </w:t>
      </w:r>
      <w:r w:rsidR="00DC2049">
        <w:t xml:space="preserve">The notion of a </w:t>
      </w:r>
      <w:r w:rsidR="00DC2049">
        <w:rPr>
          <w:i/>
          <w:iCs/>
        </w:rPr>
        <w:t>configuration</w:t>
      </w:r>
      <w:r w:rsidR="00DC2049">
        <w:t xml:space="preserve"> here refers to two sets, one of objects thought of as ‘points’, and one of subsets of the points, thought of as ‘</w:t>
      </w:r>
      <w:proofErr w:type="gramStart"/>
      <w:r w:rsidR="00DC2049">
        <w:t>lines’</w:t>
      </w:r>
      <w:proofErr w:type="gramEnd"/>
      <w:r w:rsidR="00DC2049">
        <w:t xml:space="preserve">. </w:t>
      </w:r>
      <w:proofErr w:type="gramStart"/>
      <w:r w:rsidR="00DC2049">
        <w:t>Thus</w:t>
      </w:r>
      <w:proofErr w:type="gramEnd"/>
      <w:r w:rsidR="00DC2049">
        <w:t xml:space="preserve"> the notion of a configuration abstracts the geometrical context of points and lines in some larger (possibly </w:t>
      </w:r>
      <w:r w:rsidR="00646846">
        <w:t>non-</w:t>
      </w:r>
      <w:r w:rsidR="00DC2049">
        <w:t xml:space="preserve">Euclidean) space, to a pair of sets with some specified </w:t>
      </w:r>
      <w:r w:rsidR="00646846">
        <w:t>properties</w:t>
      </w:r>
      <w:r w:rsidR="00DC2049">
        <w:t xml:space="preserve">. </w:t>
      </w:r>
      <w:r>
        <w:t xml:space="preserve">For example, self-crossing quadrilaterals </w:t>
      </w:r>
      <w:proofErr w:type="gramStart"/>
      <w:r w:rsidR="00DC2049">
        <w:t>have to</w:t>
      </w:r>
      <w:proofErr w:type="gramEnd"/>
      <w:r w:rsidR="00DC2049">
        <w:t xml:space="preserve"> be seen-as a configuration not as a set of points in the Cartesian plane.</w:t>
      </w:r>
    </w:p>
    <w:p w14:paraId="1AAA087F" w14:textId="1687F3E0" w:rsidR="00410912" w:rsidRDefault="00410912" w:rsidP="00410912">
      <w:r>
        <w:t>The evident symmetry of the configuration suggests that there are many (in fact 24) different ways of the configuration being seen-as the composition of two scalings of some point from two centres, by two scale factors. Gazing, then controlling the focus and locus of attention is one way to experience this multiplicity.</w:t>
      </w:r>
      <w:r w:rsidR="00646846">
        <w:t xml:space="preserve"> </w:t>
      </w:r>
    </w:p>
    <w:p w14:paraId="1BD8B74C" w14:textId="77777777" w:rsidR="00BF59BE" w:rsidRDefault="00BF59BE" w:rsidP="00410912">
      <w:r>
        <w:t xml:space="preserve">The </w:t>
      </w:r>
      <w:proofErr w:type="gramStart"/>
      <w:r>
        <w:t>left hand</w:t>
      </w:r>
      <w:proofErr w:type="gramEnd"/>
      <w:r>
        <w:t xml:space="preserve"> side of Figure 2 depicts the composition of two scalings (in how many ways can such a composition be discerned in the diagram?), and the right hand side depicts the composition of three scalings. </w:t>
      </w:r>
    </w:p>
    <w:p w14:paraId="70319179" w14:textId="294BDAC4" w:rsidR="00BF59BE" w:rsidRDefault="00265F5F" w:rsidP="00BF59BE">
      <w:pPr>
        <w:jc w:val="center"/>
      </w:pPr>
      <w:r w:rsidRPr="00265F5F">
        <w:rPr>
          <w:noProof/>
        </w:rPr>
        <w:drawing>
          <wp:inline distT="0" distB="0" distL="0" distR="0" wp14:anchorId="2DE625B2" wp14:editId="4CD9C752">
            <wp:extent cx="1413164" cy="1073817"/>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59600" cy="1109103"/>
                    </a:xfrm>
                    <a:prstGeom prst="rect">
                      <a:avLst/>
                    </a:prstGeom>
                  </pic:spPr>
                </pic:pic>
              </a:graphicData>
            </a:graphic>
          </wp:inline>
        </w:drawing>
      </w:r>
      <w:r w:rsidR="00BF59BE">
        <w:t xml:space="preserve">      </w:t>
      </w:r>
      <w:r w:rsidR="00DA74BF" w:rsidRPr="00DA74BF">
        <w:rPr>
          <w:noProof/>
        </w:rPr>
        <w:drawing>
          <wp:inline distT="0" distB="0" distL="0" distR="0" wp14:anchorId="5E145F0D" wp14:editId="0F1438AB">
            <wp:extent cx="1945178" cy="11207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8919" cy="1151706"/>
                    </a:xfrm>
                    <a:prstGeom prst="rect">
                      <a:avLst/>
                    </a:prstGeom>
                  </pic:spPr>
                </pic:pic>
              </a:graphicData>
            </a:graphic>
          </wp:inline>
        </w:drawing>
      </w:r>
    </w:p>
    <w:p w14:paraId="72468AFC" w14:textId="367EB91D" w:rsidR="00BF59BE" w:rsidRDefault="00BF59BE" w:rsidP="00BF59BE">
      <w:pPr>
        <w:jc w:val="center"/>
      </w:pPr>
      <w:r>
        <w:t>Figure 2: composition of two scalings in either order,</w:t>
      </w:r>
      <w:r>
        <w:br/>
        <w:t>and of three scalings</w:t>
      </w:r>
    </w:p>
    <w:p w14:paraId="57E5A930" w14:textId="77777777" w:rsidR="00646846" w:rsidRDefault="00BF59BE" w:rsidP="00410912">
      <w:r>
        <w:t xml:space="preserve">How many versions of a single scaling, a composition of two scalings, and a composition of three scalings can be found in the diagram? </w:t>
      </w:r>
    </w:p>
    <w:p w14:paraId="164E407B" w14:textId="0FD458FE" w:rsidR="00646846" w:rsidRDefault="00646846" w:rsidP="00410912">
      <w:r>
        <w:t>Ceva’s theorem says that for a triangle with points dividing the edges in specified ratios, the three Cevians (lines from a vertex to the division point on the</w:t>
      </w:r>
      <w:r w:rsidR="00870E0F">
        <w:t xml:space="preserve"> </w:t>
      </w:r>
      <w:r>
        <w:t xml:space="preserve">opposite sides) will be coincident if and only if the product in order around the triangle of the division ratios is 1. The Ratio Sum theorem says that the sum of </w:t>
      </w:r>
      <w:r w:rsidR="00870E0F">
        <w:t xml:space="preserve">the ratios on two edges of the triangle from a vertex is the ratio in which the Cevian Point divides the Cevian from that same vertex. </w:t>
      </w:r>
      <w:r>
        <w:t>Figure 3 depicts the configuration behind Ceva’s theorem and the Ratio-Sum theorem which again can be reasoned by seeing-in the full configuration appropriate versions of the scaling diagram.</w:t>
      </w:r>
    </w:p>
    <w:p w14:paraId="23CCCB0C" w14:textId="5EED1B89" w:rsidR="00646846" w:rsidRDefault="00646846" w:rsidP="00646846">
      <w:pPr>
        <w:jc w:val="center"/>
      </w:pPr>
      <w:r w:rsidRPr="00646846">
        <w:rPr>
          <w:noProof/>
        </w:rPr>
        <w:lastRenderedPageBreak/>
        <w:drawing>
          <wp:inline distT="0" distB="0" distL="0" distR="0" wp14:anchorId="49463C86" wp14:editId="00ADB733">
            <wp:extent cx="1803861" cy="15665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5504" cy="1585306"/>
                    </a:xfrm>
                    <a:prstGeom prst="rect">
                      <a:avLst/>
                    </a:prstGeom>
                  </pic:spPr>
                </pic:pic>
              </a:graphicData>
            </a:graphic>
          </wp:inline>
        </w:drawing>
      </w:r>
    </w:p>
    <w:p w14:paraId="1C2ABF56" w14:textId="209885B5" w:rsidR="00DC2049" w:rsidRPr="00410912" w:rsidRDefault="00BF59BE" w:rsidP="00410912">
      <w:r>
        <w:t>Addressing such questions may serve to stimulate a desire to see-in through the movement of attention. The overall configuration is known as Desargues’ theorem, for it characterises the associativity property of composing three scalings.</w:t>
      </w:r>
    </w:p>
    <w:p w14:paraId="41973525" w14:textId="36F51892" w:rsidR="00870E0F" w:rsidRDefault="00F7046E" w:rsidP="00870E0F">
      <w:pPr>
        <w:pStyle w:val="Heading3"/>
        <w:jc w:val="center"/>
      </w:pPr>
      <w:r w:rsidRPr="00F7046E">
        <w:rPr>
          <w:noProof/>
        </w:rPr>
        <w:drawing>
          <wp:inline distT="0" distB="0" distL="0" distR="0" wp14:anchorId="73BC726D" wp14:editId="7F5C37F9">
            <wp:extent cx="2527069" cy="1456006"/>
            <wp:effectExtent l="0" t="0" r="63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58126" cy="1473900"/>
                    </a:xfrm>
                    <a:prstGeom prst="rect">
                      <a:avLst/>
                    </a:prstGeom>
                  </pic:spPr>
                </pic:pic>
              </a:graphicData>
            </a:graphic>
          </wp:inline>
        </w:drawing>
      </w:r>
    </w:p>
    <w:p w14:paraId="57985598" w14:textId="0FDC484A" w:rsidR="00870E0F" w:rsidRDefault="00870E0F" w:rsidP="00870E0F">
      <w:pPr>
        <w:jc w:val="center"/>
      </w:pPr>
      <w:r>
        <w:t xml:space="preserve">Figure 4: Composition of three scalings seen-as </w:t>
      </w:r>
      <w:r>
        <w:br/>
        <w:t>a Desarguesian configuration of two triangles in perspective.</w:t>
      </w:r>
    </w:p>
    <w:p w14:paraId="10CE0A0A" w14:textId="56790B8A" w:rsidR="00F7046E" w:rsidRDefault="00F7046E" w:rsidP="00F7046E">
      <w:pPr>
        <w:pStyle w:val="Heading1"/>
      </w:pPr>
      <w:r>
        <w:t>Reflections</w:t>
      </w:r>
    </w:p>
    <w:p w14:paraId="60B91EDE" w14:textId="2134CCB6" w:rsidR="00F7046E" w:rsidRPr="00870E0F" w:rsidRDefault="00F7046E" w:rsidP="00F7046E">
      <w:r>
        <w:t>My aim was to raise the question of whether the actions of seeing-as and seeing-in are as automatic and simple as might be supposed when observing mathematics lessons. Might it be the case that some learners never reach the point of appreciating these shifts of attention, these ways of experiencing in mathematics. Might there be some value in comparing notes with teachers of literature, in which seeing-as via metaphor, and seeing-in when discerning tropes and grammatical constructions is something that often requires work by the teacher?</w:t>
      </w:r>
    </w:p>
    <w:p w14:paraId="74A137A6" w14:textId="55BCA873" w:rsidR="000F32D2" w:rsidRDefault="000F32D2" w:rsidP="00F170B6">
      <w:pPr>
        <w:pStyle w:val="Heading3"/>
      </w:pPr>
      <w:r>
        <w:t>Footnotes</w:t>
      </w:r>
    </w:p>
    <w:p w14:paraId="0AA9D396" w14:textId="66A961E5" w:rsidR="000F32D2" w:rsidRDefault="000F32D2" w:rsidP="000F32D2">
      <w:r>
        <w:t xml:space="preserve">Discerning wholes and gazing at them, holding them for </w:t>
      </w:r>
      <w:proofErr w:type="gramStart"/>
      <w:r>
        <w:t>a period of time</w:t>
      </w:r>
      <w:proofErr w:type="gramEnd"/>
      <w:r>
        <w:t xml:space="preserve"> is one way of attending to things </w:t>
      </w:r>
      <w:r w:rsidR="00D146A5">
        <w:t>(Mason et al 2005).</w:t>
      </w:r>
      <w:r>
        <w:t xml:space="preserve"> </w:t>
      </w:r>
    </w:p>
    <w:p w14:paraId="1372ADF8" w14:textId="3026E89A" w:rsidR="000F32D2" w:rsidRDefault="000F32D2" w:rsidP="000F32D2">
      <w:r>
        <w:t xml:space="preserve">The </w:t>
      </w:r>
      <w:r>
        <w:rPr>
          <w:i/>
          <w:iCs/>
        </w:rPr>
        <w:t>arch of experience</w:t>
      </w:r>
      <w:r>
        <w:t xml:space="preserve"> comes from Tennyson’s Ulysses.</w:t>
      </w:r>
    </w:p>
    <w:p w14:paraId="5FB61DE1" w14:textId="521098FC" w:rsidR="000F32D2" w:rsidRDefault="000F32D2" w:rsidP="000F32D2">
      <w:r>
        <w:rPr>
          <w:i/>
          <w:iCs/>
        </w:rPr>
        <w:t>Cave-freed</w:t>
      </w:r>
      <w:r>
        <w:t xml:space="preserve"> refers to Plato’s Cave and the material world as a world of shadows of forms.</w:t>
      </w:r>
    </w:p>
    <w:p w14:paraId="61C9D396" w14:textId="220971A2" w:rsidR="002E416A" w:rsidRDefault="002E416A" w:rsidP="000F32D2">
      <w:r>
        <w:rPr>
          <w:i/>
          <w:iCs/>
        </w:rPr>
        <w:t xml:space="preserve">To express is to over stress </w:t>
      </w:r>
      <w:r>
        <w:t xml:space="preserve">(Mason </w:t>
      </w:r>
      <w:r w:rsidR="004A06D8">
        <w:t>et al 2005</w:t>
      </w:r>
      <w:r>
        <w:t>).</w:t>
      </w:r>
    </w:p>
    <w:p w14:paraId="34EAD7B1" w14:textId="0D53E527" w:rsidR="007A731E" w:rsidRDefault="007A731E" w:rsidP="007A731E">
      <w:pPr>
        <w:pStyle w:val="Heading1"/>
      </w:pPr>
      <w:r>
        <w:t>References</w:t>
      </w:r>
    </w:p>
    <w:p w14:paraId="2F8CBA6E" w14:textId="77777777" w:rsidR="00933E3B" w:rsidRDefault="008B760F" w:rsidP="004A06D8">
      <w:pPr>
        <w:pStyle w:val="Bibliography"/>
        <w:spacing w:before="0" w:after="120"/>
        <w:ind w:left="720" w:hanging="720"/>
        <w:rPr>
          <w:color w:val="202122"/>
          <w:shd w:val="clear" w:color="auto" w:fill="FFFFFF"/>
        </w:rPr>
      </w:pPr>
      <w:bookmarkStart w:id="0" w:name="OLE_LINK350"/>
      <w:bookmarkStart w:id="1" w:name="OLE_LINK351"/>
      <w:r>
        <w:rPr>
          <w:color w:val="202122"/>
          <w:shd w:val="clear" w:color="auto" w:fill="FFFFFF"/>
        </w:rPr>
        <w:t>Carr, George Shoobridge (1886),</w:t>
      </w:r>
      <w:r>
        <w:rPr>
          <w:rStyle w:val="apple-converted-space"/>
          <w:rFonts w:ascii="Arial" w:hAnsi="Arial" w:cs="Arial"/>
          <w:color w:val="202122"/>
          <w:sz w:val="21"/>
          <w:szCs w:val="21"/>
          <w:shd w:val="clear" w:color="auto" w:fill="FFFFFF"/>
        </w:rPr>
        <w:t> </w:t>
      </w:r>
      <w:hyperlink r:id="rId12" w:history="1">
        <w:r w:rsidRPr="008B760F">
          <w:rPr>
            <w:i/>
            <w:iCs/>
          </w:rPr>
          <w:t>A synopsis of elementary results in pure mathematics containing propositions, formulae, and methods of analysis, with abridged demonstrations.</w:t>
        </w:r>
      </w:hyperlink>
      <w:r>
        <w:rPr>
          <w:color w:val="202122"/>
          <w:shd w:val="clear" w:color="auto" w:fill="FFFFFF"/>
        </w:rPr>
        <w:t xml:space="preserve"> Reprinted by Chelsea, 1970, London. Fr. Hodgson. Cambridge. Macmillan and Bowes,</w:t>
      </w:r>
    </w:p>
    <w:p w14:paraId="7ECAD7B6" w14:textId="1E9E6DD7" w:rsidR="00D96E76" w:rsidRPr="00933E3B" w:rsidRDefault="00D96E76" w:rsidP="004A06D8">
      <w:pPr>
        <w:pStyle w:val="Bibliography"/>
        <w:spacing w:before="0" w:after="120"/>
        <w:ind w:left="720" w:hanging="720"/>
        <w:rPr>
          <w:rFonts w:ascii="Times New Roman" w:hAnsi="Times New Roman"/>
          <w:sz w:val="24"/>
        </w:rPr>
      </w:pPr>
      <w:r>
        <w:t xml:space="preserve">Coxeter, H. (1950). Self-Dual </w:t>
      </w:r>
      <w:r w:rsidRPr="00D96E76">
        <w:rPr>
          <w:lang w:eastAsia="en-GB"/>
        </w:rPr>
        <w:t>Configura</w:t>
      </w:r>
      <w:r>
        <w:rPr>
          <w:lang w:eastAsia="en-GB"/>
        </w:rPr>
        <w:t>t</w:t>
      </w:r>
      <w:r w:rsidRPr="00D96E76">
        <w:rPr>
          <w:lang w:eastAsia="en-GB"/>
        </w:rPr>
        <w:t xml:space="preserve">ions </w:t>
      </w:r>
      <w:r>
        <w:rPr>
          <w:lang w:eastAsia="en-GB"/>
        </w:rPr>
        <w:t>a</w:t>
      </w:r>
      <w:r w:rsidRPr="00D96E76">
        <w:rPr>
          <w:lang w:eastAsia="en-GB"/>
        </w:rPr>
        <w:t>nd Regular Graphs</w:t>
      </w:r>
      <w:r>
        <w:rPr>
          <w:lang w:eastAsia="en-GB"/>
        </w:rPr>
        <w:t xml:space="preserve">. </w:t>
      </w:r>
      <w:r w:rsidR="00933E3B" w:rsidRPr="00933E3B">
        <w:rPr>
          <w:i/>
          <w:iCs/>
          <w:lang w:eastAsia="en-GB"/>
        </w:rPr>
        <w:t>Bull. Amer. Math. Soc</w:t>
      </w:r>
      <w:r w:rsidR="00933E3B" w:rsidRPr="00933E3B">
        <w:rPr>
          <w:lang w:eastAsia="en-GB"/>
        </w:rPr>
        <w:t>. 56(5)</w:t>
      </w:r>
      <w:r w:rsidR="00933E3B">
        <w:rPr>
          <w:lang w:eastAsia="en-GB"/>
        </w:rPr>
        <w:t xml:space="preserve"> p</w:t>
      </w:r>
      <w:r w:rsidR="00E83E3E">
        <w:rPr>
          <w:lang w:eastAsia="en-GB"/>
        </w:rPr>
        <w:t xml:space="preserve">p. </w:t>
      </w:r>
      <w:r>
        <w:rPr>
          <w:lang w:eastAsia="en-GB"/>
        </w:rPr>
        <w:t>413-455.</w:t>
      </w:r>
      <w:r w:rsidRPr="00D96E76">
        <w:rPr>
          <w:lang w:eastAsia="en-GB"/>
        </w:rPr>
        <w:t xml:space="preserve"> </w:t>
      </w:r>
    </w:p>
    <w:p w14:paraId="3556DAC0" w14:textId="6A651FD0" w:rsidR="0073547B" w:rsidRDefault="0073547B" w:rsidP="004A06D8">
      <w:pPr>
        <w:spacing w:before="0"/>
        <w:ind w:left="720" w:hanging="720"/>
      </w:pPr>
      <w:r>
        <w:lastRenderedPageBreak/>
        <w:t xml:space="preserve">Havil H. (2009). Sundaram’s Sieve. </w:t>
      </w:r>
      <w:proofErr w:type="gramStart"/>
      <w:r>
        <w:rPr>
          <w:i/>
        </w:rPr>
        <w:t>Plus</w:t>
      </w:r>
      <w:proofErr w:type="gramEnd"/>
      <w:r>
        <w:rPr>
          <w:i/>
        </w:rPr>
        <w:t xml:space="preserve"> Magazine</w:t>
      </w:r>
      <w:r>
        <w:t xml:space="preserve"> 50 (13). see website: plus.maths.org/content/sundarams-sieve</w:t>
      </w:r>
    </w:p>
    <w:p w14:paraId="6012D9AE" w14:textId="5F937E1A" w:rsidR="0073547B" w:rsidRDefault="0073547B" w:rsidP="004A06D8">
      <w:pPr>
        <w:pStyle w:val="Bibliography"/>
        <w:spacing w:before="0" w:after="120"/>
        <w:ind w:left="720" w:hanging="720"/>
        <w:rPr>
          <w:lang w:val="en-US"/>
        </w:rPr>
      </w:pPr>
      <w:r>
        <w:rPr>
          <w:lang w:val="en-US"/>
        </w:rPr>
        <w:t xml:space="preserve">Honsberger, R. (1970). </w:t>
      </w:r>
      <w:r>
        <w:rPr>
          <w:i/>
          <w:iCs/>
          <w:lang w:val="en-US"/>
        </w:rPr>
        <w:t>Ingenuity in Mathematics</w:t>
      </w:r>
      <w:r>
        <w:rPr>
          <w:lang w:val="en-US"/>
        </w:rPr>
        <w:t>. New Mathematical Library #23</w:t>
      </w:r>
      <w:r>
        <w:t xml:space="preserve">. </w:t>
      </w:r>
      <w:hyperlink r:id="rId13" w:history="1">
        <w:r>
          <w:rPr>
            <w:rStyle w:val="Hyperlink"/>
          </w:rPr>
          <w:t>Mathematical Association of America</w:t>
        </w:r>
      </w:hyperlink>
      <w:r>
        <w:t xml:space="preserve">. </w:t>
      </w:r>
      <w:r>
        <w:rPr>
          <w:lang w:val="en-US"/>
        </w:rPr>
        <w:t>p</w:t>
      </w:r>
      <w:r w:rsidR="00E83E3E">
        <w:rPr>
          <w:lang w:val="en-US"/>
        </w:rPr>
        <w:t xml:space="preserve">. </w:t>
      </w:r>
      <w:r>
        <w:rPr>
          <w:lang w:val="en-US"/>
        </w:rPr>
        <w:t>75.</w:t>
      </w:r>
    </w:p>
    <w:p w14:paraId="4E35D18F" w14:textId="77777777" w:rsidR="0073547B" w:rsidRDefault="0073547B" w:rsidP="004A06D8">
      <w:pPr>
        <w:pStyle w:val="Bibliography"/>
        <w:spacing w:before="0" w:after="120"/>
        <w:ind w:left="720" w:hanging="720"/>
        <w:rPr>
          <w:lang w:val="en-US"/>
        </w:rPr>
      </w:pPr>
      <w:bookmarkStart w:id="2" w:name="OLE_LINK25"/>
      <w:bookmarkStart w:id="3" w:name="OLE_LINK38"/>
      <w:r>
        <w:t>Mason, J. with Johnston-Wilder, S. &amp; Graham, A. (2005).</w:t>
      </w:r>
      <w:r>
        <w:rPr>
          <w:i/>
        </w:rPr>
        <w:t xml:space="preserve"> Developing Thinking in Algebra</w:t>
      </w:r>
      <w:r>
        <w:t xml:space="preserve">. London: Sage </w:t>
      </w:r>
      <w:bookmarkEnd w:id="2"/>
      <w:r>
        <w:t>(Paul Chapman).</w:t>
      </w:r>
      <w:bookmarkEnd w:id="3"/>
    </w:p>
    <w:p w14:paraId="01B543A1" w14:textId="5D721228" w:rsidR="0073547B" w:rsidRDefault="0073547B" w:rsidP="004A06D8">
      <w:pPr>
        <w:pStyle w:val="Bibliography"/>
        <w:spacing w:before="0" w:after="120"/>
        <w:ind w:left="720" w:hanging="720"/>
      </w:pPr>
      <w:r>
        <w:rPr>
          <w:lang w:val="en-US"/>
        </w:rPr>
        <w:t xml:space="preserve">Ramaswami Aiyar, V. (1934). "Sundaram's Sieve for Prime Numbers". </w:t>
      </w:r>
      <w:r>
        <w:rPr>
          <w:i/>
          <w:iCs/>
          <w:lang w:val="en-US"/>
        </w:rPr>
        <w:t>The Mathematics Student</w:t>
      </w:r>
      <w:r>
        <w:rPr>
          <w:lang w:val="en-US"/>
        </w:rPr>
        <w:t xml:space="preserve"> </w:t>
      </w:r>
      <w:r>
        <w:rPr>
          <w:b/>
          <w:bCs/>
          <w:lang w:val="en-US"/>
        </w:rPr>
        <w:t>2</w:t>
      </w:r>
      <w:r>
        <w:rPr>
          <w:lang w:val="en-US"/>
        </w:rPr>
        <w:t xml:space="preserve"> (2) p</w:t>
      </w:r>
      <w:r w:rsidR="00E83E3E">
        <w:rPr>
          <w:lang w:val="en-US"/>
        </w:rPr>
        <w:t xml:space="preserve">. </w:t>
      </w:r>
      <w:r>
        <w:rPr>
          <w:lang w:val="en-US"/>
        </w:rPr>
        <w:t>73.</w:t>
      </w:r>
    </w:p>
    <w:p w14:paraId="6E96F801" w14:textId="77777777" w:rsidR="007E5E8C" w:rsidRDefault="007E5E8C" w:rsidP="0073547B">
      <w:pPr>
        <w:rPr>
          <w:b/>
          <w:bCs/>
        </w:rPr>
      </w:pPr>
    </w:p>
    <w:p w14:paraId="497E774D" w14:textId="00F26846" w:rsidR="004A06D8" w:rsidRPr="004A06D8" w:rsidRDefault="004A06D8" w:rsidP="0073547B">
      <w:pPr>
        <w:rPr>
          <w:b/>
          <w:bCs/>
        </w:rPr>
      </w:pPr>
      <w:r w:rsidRPr="004A06D8">
        <w:rPr>
          <w:b/>
          <w:bCs/>
        </w:rPr>
        <w:t>Internet Resources</w:t>
      </w:r>
    </w:p>
    <w:p w14:paraId="463A2D90" w14:textId="77777777" w:rsidR="004A06D8" w:rsidRPr="007A731E" w:rsidRDefault="004A06D8" w:rsidP="004A06D8">
      <w:r>
        <w:t>PMTheta Website: www.</w:t>
      </w:r>
      <w:r w:rsidRPr="00E448FD">
        <w:t>pmtheta.com/sundaram-grids.html</w:t>
      </w:r>
    </w:p>
    <w:p w14:paraId="280308EB" w14:textId="77777777" w:rsidR="004A06D8" w:rsidRDefault="004A06D8" w:rsidP="004A06D8">
      <w:r>
        <w:t xml:space="preserve">Sundaram’s Sieve: </w:t>
      </w:r>
      <w:r w:rsidRPr="0073547B">
        <w:t>en.wikipedia.org/wiki/Sieve_of_Sundaram</w:t>
      </w:r>
    </w:p>
    <w:p w14:paraId="21F02173" w14:textId="4C072760" w:rsidR="0073547B" w:rsidRDefault="0073547B" w:rsidP="0073547B">
      <w:pPr>
        <w:rPr>
          <w:lang w:val="en-US"/>
        </w:rPr>
      </w:pPr>
      <w:r>
        <w:t>Wikipedia (en.wikipedia.org/wiki/Sieve_of_Sundaram).</w:t>
      </w:r>
      <w:bookmarkEnd w:id="0"/>
      <w:bookmarkEnd w:id="1"/>
    </w:p>
    <w:p w14:paraId="27F97F3A" w14:textId="77777777" w:rsidR="000F32D2" w:rsidRPr="000F32D2" w:rsidRDefault="000F32D2" w:rsidP="000F32D2">
      <w:pPr>
        <w:pStyle w:val="Heading1"/>
      </w:pPr>
    </w:p>
    <w:sectPr w:rsidR="000F32D2" w:rsidRPr="000F32D2" w:rsidSect="00D956E4">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F0972" w14:textId="77777777" w:rsidR="006F4766" w:rsidRDefault="006F4766" w:rsidP="00D146A5">
      <w:pPr>
        <w:spacing w:before="0" w:after="0"/>
      </w:pPr>
      <w:r>
        <w:separator/>
      </w:r>
    </w:p>
  </w:endnote>
  <w:endnote w:type="continuationSeparator" w:id="0">
    <w:p w14:paraId="1302BAD8" w14:textId="77777777" w:rsidR="006F4766" w:rsidRDefault="006F4766" w:rsidP="00D146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omic Sans MS">
    <w:panose1 w:val="030F0702030302020204"/>
    <w:charset w:val="00"/>
    <w:family w:val="script"/>
    <w:pitch w:val="variable"/>
    <w:sig w:usb0="00000287" w:usb1="00000013" w:usb2="00000000" w:usb3="00000000" w:csb0="0000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A00002BF" w:usb1="68C7FCFB" w:usb2="00000010" w:usb3="00000000" w:csb0="0002009F" w:csb1="00000000"/>
  </w:font>
  <w:font w:name="Geneva">
    <w:charset w:val="00"/>
    <w:family w:val="swiss"/>
    <w:pitch w:val="variable"/>
    <w:sig w:usb0="E00002FF" w:usb1="5200205F" w:usb2="00A0C000" w:usb3="00000000" w:csb0="0000019F" w:csb1="00000000"/>
  </w:font>
  <w:font w:name="Courier">
    <w:panose1 w:val="02070409020205020404"/>
    <w:charset w:val="00"/>
    <w:family w:val="auto"/>
    <w:pitch w:val="variable"/>
    <w:sig w:usb0="00000003" w:usb1="00000000" w:usb2="00000000" w:usb3="00000000" w:csb0="00000003"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601010"/>
      <w:docPartObj>
        <w:docPartGallery w:val="Page Numbers (Bottom of Page)"/>
        <w:docPartUnique/>
      </w:docPartObj>
    </w:sdtPr>
    <w:sdtEndPr>
      <w:rPr>
        <w:noProof/>
      </w:rPr>
    </w:sdtEndPr>
    <w:sdtContent>
      <w:p w14:paraId="409EB078" w14:textId="3C4652B5" w:rsidR="00D146A5" w:rsidRDefault="00D146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B9529A" w14:textId="77777777" w:rsidR="00D146A5" w:rsidRDefault="00D14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E99DD" w14:textId="77777777" w:rsidR="006F4766" w:rsidRDefault="006F4766" w:rsidP="00D146A5">
      <w:pPr>
        <w:spacing w:before="0" w:after="0"/>
      </w:pPr>
      <w:r>
        <w:separator/>
      </w:r>
    </w:p>
  </w:footnote>
  <w:footnote w:type="continuationSeparator" w:id="0">
    <w:p w14:paraId="39158FE3" w14:textId="77777777" w:rsidR="006F4766" w:rsidRDefault="006F4766" w:rsidP="00D146A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11"/>
    <w:rsid w:val="00005AEC"/>
    <w:rsid w:val="0001564D"/>
    <w:rsid w:val="00044C7E"/>
    <w:rsid w:val="000722F7"/>
    <w:rsid w:val="000B1984"/>
    <w:rsid w:val="000F32D2"/>
    <w:rsid w:val="00165F75"/>
    <w:rsid w:val="00170B6B"/>
    <w:rsid w:val="00172508"/>
    <w:rsid w:val="001A7531"/>
    <w:rsid w:val="002539D1"/>
    <w:rsid w:val="00265F5F"/>
    <w:rsid w:val="002C46D6"/>
    <w:rsid w:val="002E416A"/>
    <w:rsid w:val="00364B74"/>
    <w:rsid w:val="003D0175"/>
    <w:rsid w:val="00410912"/>
    <w:rsid w:val="00420D70"/>
    <w:rsid w:val="004A06D8"/>
    <w:rsid w:val="00646846"/>
    <w:rsid w:val="006D70FA"/>
    <w:rsid w:val="006F4766"/>
    <w:rsid w:val="00724AD3"/>
    <w:rsid w:val="0073547B"/>
    <w:rsid w:val="00767907"/>
    <w:rsid w:val="007923ED"/>
    <w:rsid w:val="007A1E1F"/>
    <w:rsid w:val="007A731E"/>
    <w:rsid w:val="007E5E8C"/>
    <w:rsid w:val="00824426"/>
    <w:rsid w:val="00825AB8"/>
    <w:rsid w:val="00842F97"/>
    <w:rsid w:val="0084774C"/>
    <w:rsid w:val="00870E0F"/>
    <w:rsid w:val="008B760F"/>
    <w:rsid w:val="00933E3B"/>
    <w:rsid w:val="009C659B"/>
    <w:rsid w:val="00A13311"/>
    <w:rsid w:val="00AF5C6F"/>
    <w:rsid w:val="00B032B5"/>
    <w:rsid w:val="00B62D88"/>
    <w:rsid w:val="00B77A0C"/>
    <w:rsid w:val="00B833E4"/>
    <w:rsid w:val="00BF3920"/>
    <w:rsid w:val="00BF59BE"/>
    <w:rsid w:val="00CE32B8"/>
    <w:rsid w:val="00D146A5"/>
    <w:rsid w:val="00D513E6"/>
    <w:rsid w:val="00D956E4"/>
    <w:rsid w:val="00D96E76"/>
    <w:rsid w:val="00DA74BF"/>
    <w:rsid w:val="00DC2049"/>
    <w:rsid w:val="00E315E3"/>
    <w:rsid w:val="00E448FD"/>
    <w:rsid w:val="00E57C7F"/>
    <w:rsid w:val="00E83E3E"/>
    <w:rsid w:val="00F170B6"/>
    <w:rsid w:val="00F7046E"/>
    <w:rsid w:val="00FD6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DFA6"/>
  <w15:chartTrackingRefBased/>
  <w15:docId w15:val="{467C1B28-325E-534B-9D4A-371775E0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B74"/>
    <w:pPr>
      <w:spacing w:before="120" w:after="120"/>
      <w:jc w:val="both"/>
    </w:pPr>
    <w:rPr>
      <w:rFonts w:ascii="Palatino" w:eastAsia="Times New Roman" w:hAnsi="Palatino" w:cs="Times New Roman"/>
      <w:sz w:val="22"/>
      <w:szCs w:val="20"/>
    </w:rPr>
  </w:style>
  <w:style w:type="paragraph" w:styleId="Heading1">
    <w:name w:val="heading 1"/>
    <w:aliases w:val="A head"/>
    <w:basedOn w:val="Normal"/>
    <w:next w:val="Normal"/>
    <w:link w:val="Heading1Char"/>
    <w:uiPriority w:val="9"/>
    <w:qFormat/>
    <w:rsid w:val="00364B74"/>
    <w:pPr>
      <w:keepNext/>
      <w:spacing w:after="60"/>
      <w:outlineLvl w:val="0"/>
    </w:pPr>
    <w:rPr>
      <w:rFonts w:ascii="Comic Sans MS" w:hAnsi="Comic Sans MS"/>
      <w:b/>
      <w:color w:val="800000"/>
      <w:sz w:val="28"/>
    </w:rPr>
  </w:style>
  <w:style w:type="paragraph" w:styleId="Heading2">
    <w:name w:val="heading 2"/>
    <w:aliases w:val="B head"/>
    <w:basedOn w:val="Heading1"/>
    <w:next w:val="Normal"/>
    <w:link w:val="Heading2Char"/>
    <w:uiPriority w:val="9"/>
    <w:qFormat/>
    <w:rsid w:val="00364B74"/>
    <w:pPr>
      <w:outlineLvl w:val="1"/>
    </w:pPr>
    <w:rPr>
      <w:color w:val="0000FF"/>
      <w:sz w:val="24"/>
    </w:rPr>
  </w:style>
  <w:style w:type="paragraph" w:styleId="Heading3">
    <w:name w:val="heading 3"/>
    <w:aliases w:val="C head"/>
    <w:basedOn w:val="Heading2"/>
    <w:next w:val="Normal"/>
    <w:link w:val="Heading3Char"/>
    <w:uiPriority w:val="9"/>
    <w:qFormat/>
    <w:rsid w:val="00364B74"/>
    <w:pPr>
      <w:outlineLvl w:val="2"/>
    </w:pPr>
    <w:rPr>
      <w:color w:val="008000"/>
      <w:sz w:val="22"/>
    </w:rPr>
  </w:style>
  <w:style w:type="paragraph" w:styleId="Heading4">
    <w:name w:val="heading 4"/>
    <w:aliases w:val="D head"/>
    <w:basedOn w:val="Normal"/>
    <w:next w:val="Normal"/>
    <w:link w:val="Heading4Char"/>
    <w:qFormat/>
    <w:rsid w:val="00364B74"/>
    <w:pPr>
      <w:keepNext/>
      <w:spacing w:before="60" w:after="60"/>
      <w:outlineLvl w:val="3"/>
    </w:pPr>
    <w:rPr>
      <w:i/>
      <w:color w:val="B10000"/>
    </w:rPr>
  </w:style>
  <w:style w:type="paragraph" w:styleId="Heading5">
    <w:name w:val="heading 5"/>
    <w:aliases w:val="E head"/>
    <w:basedOn w:val="Normal"/>
    <w:next w:val="Normal"/>
    <w:link w:val="Heading5Char"/>
    <w:qFormat/>
    <w:rsid w:val="00364B74"/>
    <w:pPr>
      <w:keepNext/>
      <w:jc w:val="left"/>
      <w:outlineLvl w:val="4"/>
    </w:pPr>
    <w:rPr>
      <w:i/>
    </w:rPr>
  </w:style>
  <w:style w:type="paragraph" w:styleId="Heading6">
    <w:name w:val="heading 6"/>
    <w:aliases w:val="Task heading,F Headi"/>
    <w:basedOn w:val="Normal"/>
    <w:next w:val="Normal"/>
    <w:link w:val="Heading6Char"/>
    <w:qFormat/>
    <w:rsid w:val="00364B74"/>
    <w:pPr>
      <w:widowControl w:val="0"/>
      <w:pBdr>
        <w:top w:val="single" w:sz="4" w:space="1" w:color="auto"/>
        <w:bottom w:val="single" w:sz="4" w:space="1" w:color="auto"/>
      </w:pBdr>
      <w:shd w:val="pct12" w:color="auto" w:fill="FFFFFF"/>
      <w:spacing w:before="240"/>
      <w:outlineLvl w:val="5"/>
    </w:pPr>
    <w:rPr>
      <w:rFonts w:ascii="Comic Sans MS" w:hAnsi="Comic Sans MS"/>
      <w:b/>
      <w:snapToGrid w:val="0"/>
    </w:rPr>
  </w:style>
  <w:style w:type="paragraph" w:styleId="Heading7">
    <w:name w:val="heading 7"/>
    <w:basedOn w:val="Normal"/>
    <w:next w:val="Normal"/>
    <w:link w:val="Heading7Char"/>
    <w:qFormat/>
    <w:rsid w:val="00364B74"/>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4B74"/>
  </w:style>
  <w:style w:type="paragraph" w:customStyle="1" w:styleId="Author">
    <w:name w:val="Author"/>
    <w:basedOn w:val="Normal"/>
    <w:next w:val="Heading1"/>
    <w:rsid w:val="00364B74"/>
    <w:pPr>
      <w:spacing w:before="60" w:after="60"/>
      <w:jc w:val="center"/>
    </w:pPr>
    <w:rPr>
      <w:rFonts w:ascii="Comic Sans MS" w:hAnsi="Comic Sans MS"/>
      <w:sz w:val="20"/>
    </w:rPr>
  </w:style>
  <w:style w:type="character" w:customStyle="1" w:styleId="Heading1Char">
    <w:name w:val="Heading 1 Char"/>
    <w:aliases w:val="A head Char"/>
    <w:basedOn w:val="DefaultParagraphFont"/>
    <w:link w:val="Heading1"/>
    <w:uiPriority w:val="9"/>
    <w:rsid w:val="00364B74"/>
    <w:rPr>
      <w:rFonts w:ascii="Comic Sans MS" w:eastAsia="Times New Roman" w:hAnsi="Comic Sans MS" w:cs="Times New Roman"/>
      <w:b/>
      <w:color w:val="800000"/>
      <w:sz w:val="28"/>
      <w:szCs w:val="20"/>
    </w:rPr>
  </w:style>
  <w:style w:type="paragraph" w:customStyle="1" w:styleId="Display">
    <w:name w:val="Display"/>
    <w:aliases w:val="display"/>
    <w:basedOn w:val="Normal"/>
    <w:rsid w:val="00364B74"/>
    <w:pPr>
      <w:spacing w:before="60" w:after="60"/>
      <w:ind w:left="360" w:right="360"/>
    </w:pPr>
  </w:style>
  <w:style w:type="paragraph" w:customStyle="1" w:styleId="BDisplay">
    <w:name w:val="B Display"/>
    <w:basedOn w:val="Display"/>
    <w:rsid w:val="00364B74"/>
    <w:pPr>
      <w:ind w:hanging="360"/>
    </w:pPr>
  </w:style>
  <w:style w:type="paragraph" w:styleId="BalloonText">
    <w:name w:val="Balloon Text"/>
    <w:basedOn w:val="Normal"/>
    <w:link w:val="BalloonTextChar"/>
    <w:rsid w:val="00364B74"/>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rsid w:val="00364B74"/>
    <w:rPr>
      <w:rFonts w:ascii="Lucida Grande" w:eastAsia="Times New Roman" w:hAnsi="Lucida Grande" w:cs="Lucida Grande"/>
      <w:sz w:val="18"/>
      <w:szCs w:val="18"/>
    </w:rPr>
  </w:style>
  <w:style w:type="paragraph" w:styleId="Bibliography">
    <w:name w:val="Bibliography"/>
    <w:basedOn w:val="Normal"/>
    <w:rsid w:val="00364B74"/>
    <w:pPr>
      <w:spacing w:before="60" w:after="60"/>
      <w:ind w:left="280" w:hanging="280"/>
    </w:pPr>
  </w:style>
  <w:style w:type="paragraph" w:styleId="Caption">
    <w:name w:val="caption"/>
    <w:basedOn w:val="Normal"/>
    <w:next w:val="Normal"/>
    <w:rsid w:val="00364B74"/>
    <w:pPr>
      <w:spacing w:before="0" w:after="200"/>
      <w:jc w:val="center"/>
    </w:pPr>
    <w:rPr>
      <w:bCs/>
      <w:sz w:val="24"/>
      <w:szCs w:val="18"/>
    </w:rPr>
  </w:style>
  <w:style w:type="paragraph" w:customStyle="1" w:styleId="Comment">
    <w:name w:val="Comment"/>
    <w:basedOn w:val="Normal"/>
    <w:rsid w:val="00364B74"/>
    <w:pPr>
      <w:pBdr>
        <w:bottom w:val="threeDEmboss" w:sz="24" w:space="1" w:color="auto"/>
      </w:pBdr>
    </w:pPr>
    <w:rPr>
      <w:sz w:val="20"/>
    </w:rPr>
  </w:style>
  <w:style w:type="paragraph" w:customStyle="1" w:styleId="Commenthead">
    <w:name w:val="Comment head"/>
    <w:basedOn w:val="Normal"/>
    <w:next w:val="Comment"/>
    <w:rsid w:val="00364B74"/>
    <w:pPr>
      <w:keepNext/>
    </w:pPr>
    <w:rPr>
      <w:i/>
    </w:rPr>
  </w:style>
  <w:style w:type="character" w:styleId="CommentReference">
    <w:name w:val="annotation reference"/>
    <w:basedOn w:val="DefaultParagraphFont"/>
    <w:rsid w:val="00364B74"/>
    <w:rPr>
      <w:sz w:val="18"/>
      <w:szCs w:val="18"/>
    </w:rPr>
  </w:style>
  <w:style w:type="paragraph" w:styleId="CommentText">
    <w:name w:val="annotation text"/>
    <w:basedOn w:val="Normal"/>
    <w:link w:val="CommentTextChar"/>
    <w:rsid w:val="00364B74"/>
    <w:rPr>
      <w:sz w:val="24"/>
      <w:szCs w:val="24"/>
    </w:rPr>
  </w:style>
  <w:style w:type="character" w:customStyle="1" w:styleId="CommentTextChar">
    <w:name w:val="Comment Text Char"/>
    <w:basedOn w:val="DefaultParagraphFont"/>
    <w:link w:val="CommentText"/>
    <w:rsid w:val="00364B74"/>
    <w:rPr>
      <w:rFonts w:ascii="Palatino" w:eastAsia="Times New Roman" w:hAnsi="Palatino" w:cs="Times New Roman"/>
    </w:rPr>
  </w:style>
  <w:style w:type="paragraph" w:customStyle="1" w:styleId="DDisplay">
    <w:name w:val="D Display"/>
    <w:basedOn w:val="Normal"/>
    <w:rsid w:val="00364B74"/>
    <w:pPr>
      <w:spacing w:before="60" w:after="60"/>
      <w:ind w:left="709" w:right="774"/>
    </w:pPr>
    <w:rPr>
      <w:rFonts w:eastAsia="MS Mincho"/>
    </w:rPr>
  </w:style>
  <w:style w:type="paragraph" w:styleId="DocumentMap">
    <w:name w:val="Document Map"/>
    <w:basedOn w:val="Normal"/>
    <w:link w:val="DocumentMapChar"/>
    <w:rsid w:val="00364B74"/>
    <w:pPr>
      <w:shd w:val="clear" w:color="auto" w:fill="000080"/>
    </w:pPr>
    <w:rPr>
      <w:rFonts w:ascii="Geneva" w:hAnsi="Geneva"/>
    </w:rPr>
  </w:style>
  <w:style w:type="character" w:customStyle="1" w:styleId="DocumentMapChar">
    <w:name w:val="Document Map Char"/>
    <w:basedOn w:val="DefaultParagraphFont"/>
    <w:link w:val="DocumentMap"/>
    <w:rsid w:val="00364B74"/>
    <w:rPr>
      <w:rFonts w:ascii="Geneva" w:eastAsia="Times New Roman" w:hAnsi="Geneva" w:cs="Times New Roman"/>
      <w:sz w:val="22"/>
      <w:szCs w:val="20"/>
      <w:shd w:val="clear" w:color="auto" w:fill="000080"/>
    </w:rPr>
  </w:style>
  <w:style w:type="paragraph" w:customStyle="1" w:styleId="Extract">
    <w:name w:val="Extract"/>
    <w:basedOn w:val="Normal"/>
    <w:rsid w:val="00364B74"/>
    <w:pPr>
      <w:pBdr>
        <w:left w:val="dotDash" w:sz="4" w:space="4" w:color="auto"/>
        <w:right w:val="dotDash" w:sz="4" w:space="4" w:color="auto"/>
      </w:pBdr>
      <w:ind w:left="284" w:right="278"/>
    </w:pPr>
    <w:rPr>
      <w:rFonts w:ascii="Times New Roman" w:hAnsi="Times New Roman"/>
    </w:rPr>
  </w:style>
  <w:style w:type="character" w:styleId="FollowedHyperlink">
    <w:name w:val="FollowedHyperlink"/>
    <w:rsid w:val="00364B74"/>
    <w:rPr>
      <w:color w:val="800080"/>
      <w:u w:val="single"/>
    </w:rPr>
  </w:style>
  <w:style w:type="paragraph" w:styleId="Footer">
    <w:name w:val="footer"/>
    <w:basedOn w:val="Normal"/>
    <w:link w:val="FooterChar"/>
    <w:uiPriority w:val="99"/>
    <w:rsid w:val="00364B74"/>
    <w:pPr>
      <w:tabs>
        <w:tab w:val="center" w:pos="4320"/>
        <w:tab w:val="right" w:pos="8640"/>
      </w:tabs>
      <w:spacing w:before="60" w:after="60"/>
      <w:jc w:val="center"/>
    </w:pPr>
    <w:rPr>
      <w:sz w:val="20"/>
    </w:rPr>
  </w:style>
  <w:style w:type="character" w:customStyle="1" w:styleId="FooterChar">
    <w:name w:val="Footer Char"/>
    <w:basedOn w:val="DefaultParagraphFont"/>
    <w:link w:val="Footer"/>
    <w:uiPriority w:val="99"/>
    <w:rsid w:val="00364B74"/>
    <w:rPr>
      <w:rFonts w:ascii="Palatino" w:eastAsia="Times New Roman" w:hAnsi="Palatino" w:cs="Times New Roman"/>
      <w:sz w:val="20"/>
      <w:szCs w:val="20"/>
    </w:rPr>
  </w:style>
  <w:style w:type="character" w:styleId="FootnoteReference">
    <w:name w:val="footnote reference"/>
    <w:rsid w:val="00364B74"/>
    <w:rPr>
      <w:rFonts w:ascii="Palatino" w:hAnsi="Palatino"/>
      <w:position w:val="6"/>
      <w:sz w:val="16"/>
    </w:rPr>
  </w:style>
  <w:style w:type="paragraph" w:styleId="FootnoteText">
    <w:name w:val="footnote text"/>
    <w:basedOn w:val="Normal"/>
    <w:link w:val="FootnoteTextChar"/>
    <w:rsid w:val="00364B74"/>
    <w:pPr>
      <w:spacing w:before="60"/>
    </w:pPr>
    <w:rPr>
      <w:sz w:val="20"/>
      <w:lang w:val="en-US"/>
    </w:rPr>
  </w:style>
  <w:style w:type="character" w:customStyle="1" w:styleId="FootnoteTextChar">
    <w:name w:val="Footnote Text Char"/>
    <w:basedOn w:val="DefaultParagraphFont"/>
    <w:link w:val="FootnoteText"/>
    <w:rsid w:val="00364B74"/>
    <w:rPr>
      <w:rFonts w:ascii="Palatino" w:eastAsia="Times New Roman" w:hAnsi="Palatino" w:cs="Times New Roman"/>
      <w:sz w:val="20"/>
      <w:szCs w:val="20"/>
      <w:lang w:val="en-US"/>
    </w:rPr>
  </w:style>
  <w:style w:type="paragraph" w:styleId="Header">
    <w:name w:val="header"/>
    <w:basedOn w:val="Normal"/>
    <w:link w:val="HeaderChar"/>
    <w:rsid w:val="00364B74"/>
    <w:pPr>
      <w:tabs>
        <w:tab w:val="center" w:pos="4320"/>
        <w:tab w:val="right" w:pos="8640"/>
      </w:tabs>
      <w:jc w:val="right"/>
    </w:pPr>
    <w:rPr>
      <w:i/>
      <w:sz w:val="20"/>
    </w:rPr>
  </w:style>
  <w:style w:type="character" w:customStyle="1" w:styleId="HeaderChar">
    <w:name w:val="Header Char"/>
    <w:basedOn w:val="DefaultParagraphFont"/>
    <w:link w:val="Header"/>
    <w:rsid w:val="00364B74"/>
    <w:rPr>
      <w:rFonts w:ascii="Palatino" w:eastAsia="Times New Roman" w:hAnsi="Palatino" w:cs="Times New Roman"/>
      <w:i/>
      <w:sz w:val="20"/>
      <w:szCs w:val="20"/>
    </w:rPr>
  </w:style>
  <w:style w:type="character" w:customStyle="1" w:styleId="Heading2Char">
    <w:name w:val="Heading 2 Char"/>
    <w:aliases w:val="B head Char"/>
    <w:basedOn w:val="DefaultParagraphFont"/>
    <w:link w:val="Heading2"/>
    <w:uiPriority w:val="9"/>
    <w:rsid w:val="00364B74"/>
    <w:rPr>
      <w:rFonts w:ascii="Comic Sans MS" w:eastAsia="Times New Roman" w:hAnsi="Comic Sans MS" w:cs="Times New Roman"/>
      <w:b/>
      <w:color w:val="0000FF"/>
      <w:szCs w:val="20"/>
    </w:rPr>
  </w:style>
  <w:style w:type="character" w:customStyle="1" w:styleId="Heading3Char">
    <w:name w:val="Heading 3 Char"/>
    <w:aliases w:val="C head Char"/>
    <w:basedOn w:val="DefaultParagraphFont"/>
    <w:link w:val="Heading3"/>
    <w:uiPriority w:val="9"/>
    <w:rsid w:val="00364B74"/>
    <w:rPr>
      <w:rFonts w:ascii="Comic Sans MS" w:eastAsia="Times New Roman" w:hAnsi="Comic Sans MS" w:cs="Times New Roman"/>
      <w:b/>
      <w:color w:val="008000"/>
      <w:sz w:val="22"/>
      <w:szCs w:val="20"/>
    </w:rPr>
  </w:style>
  <w:style w:type="character" w:customStyle="1" w:styleId="Heading4Char">
    <w:name w:val="Heading 4 Char"/>
    <w:aliases w:val="D head Char"/>
    <w:basedOn w:val="DefaultParagraphFont"/>
    <w:link w:val="Heading4"/>
    <w:rsid w:val="00364B74"/>
    <w:rPr>
      <w:rFonts w:ascii="Palatino" w:eastAsia="Times New Roman" w:hAnsi="Palatino" w:cs="Times New Roman"/>
      <w:i/>
      <w:color w:val="B10000"/>
      <w:sz w:val="22"/>
      <w:szCs w:val="20"/>
    </w:rPr>
  </w:style>
  <w:style w:type="character" w:customStyle="1" w:styleId="Heading5Char">
    <w:name w:val="Heading 5 Char"/>
    <w:aliases w:val="E head Char"/>
    <w:basedOn w:val="DefaultParagraphFont"/>
    <w:link w:val="Heading5"/>
    <w:rsid w:val="00364B74"/>
    <w:rPr>
      <w:rFonts w:ascii="Palatino" w:eastAsia="Times New Roman" w:hAnsi="Palatino" w:cs="Times New Roman"/>
      <w:i/>
      <w:sz w:val="22"/>
      <w:szCs w:val="20"/>
    </w:rPr>
  </w:style>
  <w:style w:type="character" w:customStyle="1" w:styleId="Heading6Char">
    <w:name w:val="Heading 6 Char"/>
    <w:aliases w:val="Task heading Char,F Headi Char"/>
    <w:basedOn w:val="DefaultParagraphFont"/>
    <w:link w:val="Heading6"/>
    <w:rsid w:val="00364B74"/>
    <w:rPr>
      <w:rFonts w:ascii="Comic Sans MS" w:eastAsia="Times New Roman" w:hAnsi="Comic Sans MS" w:cs="Times New Roman"/>
      <w:b/>
      <w:snapToGrid w:val="0"/>
      <w:sz w:val="22"/>
      <w:szCs w:val="20"/>
      <w:shd w:val="pct12" w:color="auto" w:fill="FFFFFF"/>
    </w:rPr>
  </w:style>
  <w:style w:type="character" w:customStyle="1" w:styleId="Heading7Char">
    <w:name w:val="Heading 7 Char"/>
    <w:basedOn w:val="DefaultParagraphFont"/>
    <w:link w:val="Heading7"/>
    <w:rsid w:val="00364B74"/>
    <w:rPr>
      <w:rFonts w:ascii="Palatino" w:eastAsia="Times New Roman" w:hAnsi="Palatino" w:cs="Times New Roman"/>
      <w:b/>
      <w:sz w:val="22"/>
      <w:szCs w:val="20"/>
    </w:rPr>
  </w:style>
  <w:style w:type="paragraph" w:styleId="HTMLPreformatted">
    <w:name w:val="HTML Preformatted"/>
    <w:basedOn w:val="Normal"/>
    <w:link w:val="HTMLPreformattedChar"/>
    <w:uiPriority w:val="99"/>
    <w:unhideWhenUsed/>
    <w:rsid w:val="00364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w:hAnsi="Courier" w:cs="Courier"/>
      <w:sz w:val="20"/>
    </w:rPr>
  </w:style>
  <w:style w:type="character" w:customStyle="1" w:styleId="HTMLPreformattedChar">
    <w:name w:val="HTML Preformatted Char"/>
    <w:basedOn w:val="DefaultParagraphFont"/>
    <w:link w:val="HTMLPreformatted"/>
    <w:uiPriority w:val="99"/>
    <w:rsid w:val="00364B74"/>
    <w:rPr>
      <w:rFonts w:ascii="Courier" w:eastAsia="Times New Roman" w:hAnsi="Courier" w:cs="Courier"/>
      <w:sz w:val="20"/>
      <w:szCs w:val="20"/>
    </w:rPr>
  </w:style>
  <w:style w:type="character" w:styleId="Hyperlink">
    <w:name w:val="Hyperlink"/>
    <w:uiPriority w:val="99"/>
    <w:rsid w:val="00364B74"/>
    <w:rPr>
      <w:color w:val="0000FF"/>
      <w:u w:val="single"/>
    </w:rPr>
  </w:style>
  <w:style w:type="paragraph" w:customStyle="1" w:styleId="ingredient">
    <w:name w:val="ingredient"/>
    <w:basedOn w:val="Normal"/>
    <w:rsid w:val="00364B74"/>
    <w:pPr>
      <w:spacing w:before="100" w:beforeAutospacing="1" w:after="100" w:afterAutospacing="1"/>
      <w:jc w:val="left"/>
    </w:pPr>
    <w:rPr>
      <w:rFonts w:ascii="Times" w:hAnsi="Times"/>
      <w:sz w:val="20"/>
    </w:rPr>
  </w:style>
  <w:style w:type="paragraph" w:styleId="List">
    <w:name w:val="List"/>
    <w:basedOn w:val="Display"/>
    <w:rsid w:val="00364B74"/>
    <w:pPr>
      <w:spacing w:before="20" w:after="20"/>
    </w:pPr>
  </w:style>
  <w:style w:type="paragraph" w:styleId="NormalWeb">
    <w:name w:val="Normal (Web)"/>
    <w:basedOn w:val="Normal"/>
    <w:uiPriority w:val="99"/>
    <w:unhideWhenUsed/>
    <w:rsid w:val="00364B74"/>
    <w:pPr>
      <w:spacing w:before="100" w:beforeAutospacing="1" w:after="100" w:afterAutospacing="1"/>
      <w:jc w:val="left"/>
    </w:pPr>
    <w:rPr>
      <w:rFonts w:ascii="Times" w:hAnsi="Times"/>
      <w:sz w:val="20"/>
    </w:rPr>
  </w:style>
  <w:style w:type="character" w:styleId="PageNumber">
    <w:name w:val="page number"/>
    <w:basedOn w:val="DefaultParagraphFont"/>
    <w:rsid w:val="00364B74"/>
  </w:style>
  <w:style w:type="character" w:customStyle="1" w:styleId="plaincharacterwrap">
    <w:name w:val="plaincharacterwrap"/>
    <w:basedOn w:val="DefaultParagraphFont"/>
    <w:rsid w:val="00364B74"/>
  </w:style>
  <w:style w:type="paragraph" w:customStyle="1" w:styleId="quotation">
    <w:name w:val="quotation"/>
    <w:basedOn w:val="Normal"/>
    <w:autoRedefine/>
    <w:rsid w:val="00364B74"/>
    <w:pPr>
      <w:jc w:val="center"/>
    </w:pPr>
  </w:style>
  <w:style w:type="character" w:styleId="Strong">
    <w:name w:val="Strong"/>
    <w:basedOn w:val="DefaultParagraphFont"/>
    <w:uiPriority w:val="22"/>
    <w:qFormat/>
    <w:rsid w:val="00364B74"/>
    <w:rPr>
      <w:b/>
      <w:bCs/>
    </w:rPr>
  </w:style>
  <w:style w:type="table" w:styleId="TableGrid">
    <w:name w:val="Table Grid"/>
    <w:basedOn w:val="TableNormal"/>
    <w:rsid w:val="00364B74"/>
    <w:pPr>
      <w:spacing w:before="120" w:after="120"/>
      <w:jc w:val="both"/>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
    <w:name w:val="Task"/>
    <w:basedOn w:val="Normal"/>
    <w:rsid w:val="00364B74"/>
    <w:pPr>
      <w:widowControl w:val="0"/>
      <w:pBdr>
        <w:bottom w:val="dotDash" w:sz="4" w:space="3" w:color="auto"/>
      </w:pBdr>
      <w:tabs>
        <w:tab w:val="left" w:pos="204"/>
      </w:tabs>
    </w:pPr>
    <w:rPr>
      <w:rFonts w:ascii="Comic Sans MS" w:hAnsi="Comic Sans MS"/>
      <w:snapToGrid w:val="0"/>
      <w:sz w:val="18"/>
    </w:rPr>
  </w:style>
  <w:style w:type="paragraph" w:customStyle="1" w:styleId="TaskIndent">
    <w:name w:val="Task Indent"/>
    <w:basedOn w:val="Task"/>
    <w:rsid w:val="00364B74"/>
    <w:pPr>
      <w:widowControl/>
      <w:tabs>
        <w:tab w:val="clear" w:pos="204"/>
        <w:tab w:val="left" w:pos="284"/>
      </w:tabs>
      <w:ind w:left="284" w:hanging="284"/>
    </w:pPr>
    <w:rPr>
      <w:snapToGrid/>
    </w:rPr>
  </w:style>
  <w:style w:type="paragraph" w:styleId="Title">
    <w:name w:val="Title"/>
    <w:basedOn w:val="Heading1"/>
    <w:next w:val="Author"/>
    <w:link w:val="TitleChar"/>
    <w:qFormat/>
    <w:rsid w:val="00364B74"/>
    <w:pPr>
      <w:spacing w:before="0"/>
      <w:jc w:val="center"/>
    </w:pPr>
    <w:rPr>
      <w:color w:val="000080"/>
      <w:sz w:val="24"/>
    </w:rPr>
  </w:style>
  <w:style w:type="character" w:customStyle="1" w:styleId="TitleChar">
    <w:name w:val="Title Char"/>
    <w:basedOn w:val="DefaultParagraphFont"/>
    <w:link w:val="Title"/>
    <w:rsid w:val="00364B74"/>
    <w:rPr>
      <w:rFonts w:ascii="Comic Sans MS" w:eastAsia="Times New Roman" w:hAnsi="Comic Sans MS" w:cs="Times New Roman"/>
      <w:b/>
      <w:color w:val="00008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5890">
      <w:bodyDiv w:val="1"/>
      <w:marLeft w:val="0"/>
      <w:marRight w:val="0"/>
      <w:marTop w:val="0"/>
      <w:marBottom w:val="0"/>
      <w:divBdr>
        <w:top w:val="none" w:sz="0" w:space="0" w:color="auto"/>
        <w:left w:val="none" w:sz="0" w:space="0" w:color="auto"/>
        <w:bottom w:val="none" w:sz="0" w:space="0" w:color="auto"/>
        <w:right w:val="none" w:sz="0" w:space="0" w:color="auto"/>
      </w:divBdr>
    </w:div>
    <w:div w:id="821698291">
      <w:bodyDiv w:val="1"/>
      <w:marLeft w:val="0"/>
      <w:marRight w:val="0"/>
      <w:marTop w:val="0"/>
      <w:marBottom w:val="0"/>
      <w:divBdr>
        <w:top w:val="none" w:sz="0" w:space="0" w:color="auto"/>
        <w:left w:val="none" w:sz="0" w:space="0" w:color="auto"/>
        <w:bottom w:val="none" w:sz="0" w:space="0" w:color="auto"/>
        <w:right w:val="none" w:sz="0" w:space="0" w:color="auto"/>
      </w:divBdr>
      <w:divsChild>
        <w:div w:id="2129659922">
          <w:marLeft w:val="0"/>
          <w:marRight w:val="0"/>
          <w:marTop w:val="0"/>
          <w:marBottom w:val="0"/>
          <w:divBdr>
            <w:top w:val="none" w:sz="0" w:space="0" w:color="auto"/>
            <w:left w:val="none" w:sz="0" w:space="0" w:color="auto"/>
            <w:bottom w:val="none" w:sz="0" w:space="0" w:color="auto"/>
            <w:right w:val="none" w:sz="0" w:space="0" w:color="auto"/>
          </w:divBdr>
          <w:divsChild>
            <w:div w:id="1605191078">
              <w:marLeft w:val="0"/>
              <w:marRight w:val="0"/>
              <w:marTop w:val="0"/>
              <w:marBottom w:val="0"/>
              <w:divBdr>
                <w:top w:val="none" w:sz="0" w:space="0" w:color="auto"/>
                <w:left w:val="none" w:sz="0" w:space="0" w:color="auto"/>
                <w:bottom w:val="none" w:sz="0" w:space="0" w:color="auto"/>
                <w:right w:val="none" w:sz="0" w:space="0" w:color="auto"/>
              </w:divBdr>
              <w:divsChild>
                <w:div w:id="10085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130151">
      <w:bodyDiv w:val="1"/>
      <w:marLeft w:val="0"/>
      <w:marRight w:val="0"/>
      <w:marTop w:val="0"/>
      <w:marBottom w:val="0"/>
      <w:divBdr>
        <w:top w:val="none" w:sz="0" w:space="0" w:color="auto"/>
        <w:left w:val="none" w:sz="0" w:space="0" w:color="auto"/>
        <w:bottom w:val="none" w:sz="0" w:space="0" w:color="auto"/>
        <w:right w:val="none" w:sz="0" w:space="0" w:color="auto"/>
      </w:divBdr>
    </w:div>
    <w:div w:id="151973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n.wikipedia.org/wiki/Mathematical_Association_of_Ameri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ooks.google.com/books?id=JLmCAAAAIAA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A7ED4-E919-48A9-A367-9C877E935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Mason</dc:creator>
  <cp:keywords/>
  <dc:description/>
  <cp:lastModifiedBy>Ernest, Paul</cp:lastModifiedBy>
  <cp:revision>21</cp:revision>
  <dcterms:created xsi:type="dcterms:W3CDTF">2021-11-21T14:40:00Z</dcterms:created>
  <dcterms:modified xsi:type="dcterms:W3CDTF">2021-12-12T17:13:00Z</dcterms:modified>
</cp:coreProperties>
</file>